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B012" w14:textId="77777777" w:rsidR="00294468" w:rsidRDefault="00294468" w:rsidP="002943C2">
      <w:pPr>
        <w:pStyle w:val="ListParagraph"/>
        <w:spacing w:after="0" w:line="240" w:lineRule="auto"/>
        <w:ind w:left="284"/>
        <w:jc w:val="both"/>
        <w:rPr>
          <w:rFonts w:ascii="Arial" w:hAnsi="Arial" w:cs="Arial"/>
          <w:sz w:val="24"/>
          <w:szCs w:val="24"/>
        </w:rPr>
      </w:pPr>
      <w:r>
        <w:rPr>
          <w:rFonts w:ascii="Arial" w:hAnsi="Arial" w:cs="Arial"/>
          <w:sz w:val="24"/>
          <w:szCs w:val="24"/>
        </w:rPr>
        <w:t>EXTRACT FROM SUB-COMMITTEE ON EMPLOYABILITY TO LEARNING AND TEACHING COMMITTEE</w:t>
      </w:r>
    </w:p>
    <w:p w14:paraId="5DFC67EC" w14:textId="77777777" w:rsidR="00294468" w:rsidRDefault="00294468" w:rsidP="002943C2">
      <w:pPr>
        <w:pStyle w:val="ListParagraph"/>
        <w:spacing w:after="0" w:line="240" w:lineRule="auto"/>
        <w:ind w:left="284"/>
        <w:jc w:val="both"/>
        <w:rPr>
          <w:rFonts w:ascii="Arial" w:hAnsi="Arial" w:cs="Arial"/>
          <w:sz w:val="24"/>
          <w:szCs w:val="24"/>
        </w:rPr>
      </w:pPr>
    </w:p>
    <w:p w14:paraId="372BAA38" w14:textId="77777777" w:rsidR="00294468" w:rsidRPr="00294468" w:rsidRDefault="00294468" w:rsidP="002943C2">
      <w:pPr>
        <w:pStyle w:val="ListParagraph"/>
        <w:spacing w:after="0" w:line="240" w:lineRule="auto"/>
        <w:ind w:left="284"/>
        <w:jc w:val="both"/>
        <w:rPr>
          <w:rFonts w:ascii="Arial" w:hAnsi="Arial" w:cs="Arial"/>
          <w:b/>
          <w:sz w:val="24"/>
          <w:szCs w:val="24"/>
          <w:u w:val="single"/>
        </w:rPr>
      </w:pPr>
      <w:r>
        <w:rPr>
          <w:rFonts w:ascii="Arial" w:hAnsi="Arial" w:cs="Arial"/>
          <w:b/>
          <w:sz w:val="24"/>
          <w:szCs w:val="24"/>
          <w:u w:val="single"/>
        </w:rPr>
        <w:t>May</w:t>
      </w:r>
      <w:r w:rsidRPr="00294468">
        <w:rPr>
          <w:rFonts w:ascii="Arial" w:hAnsi="Arial" w:cs="Arial"/>
          <w:b/>
          <w:sz w:val="24"/>
          <w:szCs w:val="24"/>
          <w:u w:val="single"/>
        </w:rPr>
        <w:t xml:space="preserve"> 2018</w:t>
      </w:r>
    </w:p>
    <w:p w14:paraId="212DE5E3" w14:textId="77777777" w:rsidR="00294468" w:rsidRDefault="00294468" w:rsidP="002943C2">
      <w:pPr>
        <w:pStyle w:val="ListParagraph"/>
        <w:spacing w:after="0" w:line="240" w:lineRule="auto"/>
        <w:ind w:left="284"/>
        <w:jc w:val="both"/>
        <w:rPr>
          <w:rFonts w:ascii="Arial" w:hAnsi="Arial" w:cs="Arial"/>
          <w:sz w:val="24"/>
          <w:szCs w:val="24"/>
        </w:rPr>
      </w:pPr>
    </w:p>
    <w:p w14:paraId="78D8EA23" w14:textId="77777777" w:rsidR="00294468" w:rsidRPr="00294468" w:rsidRDefault="00294468" w:rsidP="00294468">
      <w:pPr>
        <w:tabs>
          <w:tab w:val="left" w:pos="851"/>
        </w:tabs>
        <w:spacing w:after="0" w:line="240" w:lineRule="auto"/>
        <w:ind w:left="284"/>
        <w:rPr>
          <w:u w:val="single"/>
        </w:rPr>
      </w:pPr>
      <w:r>
        <w:t>(III)</w:t>
      </w:r>
      <w:r>
        <w:tab/>
      </w:r>
      <w:r w:rsidRPr="00294468">
        <w:rPr>
          <w:u w:val="single"/>
        </w:rPr>
        <w:t>Work Based Learning and Placement</w:t>
      </w:r>
    </w:p>
    <w:p w14:paraId="349B3528" w14:textId="77777777" w:rsidR="00294468" w:rsidRDefault="00294468" w:rsidP="00294468">
      <w:pPr>
        <w:spacing w:after="0" w:line="240" w:lineRule="auto"/>
        <w:ind w:left="1134" w:hanging="850"/>
      </w:pPr>
    </w:p>
    <w:p w14:paraId="4152FD7F" w14:textId="655023D6" w:rsidR="00294468" w:rsidRDefault="00294468" w:rsidP="00294468">
      <w:pPr>
        <w:spacing w:after="0" w:line="240" w:lineRule="auto"/>
        <w:ind w:left="851"/>
      </w:pPr>
      <w:r>
        <w:t>A</w:t>
      </w:r>
      <w:r w:rsidR="00EF5428">
        <w:t xml:space="preserve"> </w:t>
      </w:r>
      <w:hyperlink r:id="rId7" w:history="1">
        <w:r w:rsidR="00EF5428" w:rsidRPr="00EF5428">
          <w:rPr>
            <w:rStyle w:val="Hyperlink"/>
          </w:rPr>
          <w:t>generic DPP/DPP(</w:t>
        </w:r>
        <w:proofErr w:type="spellStart"/>
        <w:r w:rsidR="00EF5428" w:rsidRPr="00EF5428">
          <w:rPr>
            <w:rStyle w:val="Hyperlink"/>
          </w:rPr>
          <w:t>i</w:t>
        </w:r>
        <w:proofErr w:type="spellEnd"/>
        <w:r w:rsidR="00EF5428" w:rsidRPr="00EF5428">
          <w:rPr>
            <w:rStyle w:val="Hyperlink"/>
          </w:rPr>
          <w:t>) descriptor</w:t>
        </w:r>
      </w:hyperlink>
      <w:bookmarkStart w:id="0" w:name="_GoBack"/>
      <w:bookmarkEnd w:id="0"/>
      <w:r w:rsidR="00EF5428">
        <w:t xml:space="preserve"> </w:t>
      </w:r>
      <w:r>
        <w:t>has been developed to provide uniform module structure whilst facilitating discipline requirements of individual Schools.</w:t>
      </w:r>
    </w:p>
    <w:p w14:paraId="27D3D34B" w14:textId="77777777" w:rsidR="00294468" w:rsidRDefault="00294468" w:rsidP="00294468">
      <w:pPr>
        <w:spacing w:after="0" w:line="240" w:lineRule="auto"/>
        <w:ind w:left="851"/>
      </w:pPr>
    </w:p>
    <w:p w14:paraId="045DBC24" w14:textId="77777777" w:rsidR="00294468" w:rsidRDefault="00294468" w:rsidP="00294468">
      <w:pPr>
        <w:spacing w:after="0" w:line="240" w:lineRule="auto"/>
        <w:ind w:left="851"/>
      </w:pPr>
      <w:r>
        <w:t xml:space="preserve">Development was anchored by a Task &amp; Finish Group however the overarching approach was one of collegiality and collaborative spirit. Across multiple rounds of consultation contributions were received from over thirty stakeholders with contributions from each Faculty. Primary events and activities: </w:t>
      </w:r>
    </w:p>
    <w:p w14:paraId="1B076707" w14:textId="77777777" w:rsidR="00294468" w:rsidRDefault="00294468" w:rsidP="00294468">
      <w:pPr>
        <w:spacing w:after="0" w:line="240" w:lineRule="auto"/>
        <w:ind w:left="1418"/>
      </w:pPr>
    </w:p>
    <w:p w14:paraId="060848FE" w14:textId="77777777" w:rsidR="00294468" w:rsidRDefault="00294468" w:rsidP="00294468">
      <w:pPr>
        <w:spacing w:after="0" w:line="240" w:lineRule="auto"/>
        <w:ind w:left="1418" w:hanging="567"/>
      </w:pPr>
      <w:r>
        <w:t>•</w:t>
      </w:r>
      <w:r>
        <w:tab/>
        <w:t xml:space="preserve">Initial review of CMS modules: 13th February </w:t>
      </w:r>
    </w:p>
    <w:p w14:paraId="06E4FCC3" w14:textId="77777777" w:rsidR="00294468" w:rsidRDefault="00294468" w:rsidP="00294468">
      <w:pPr>
        <w:spacing w:after="0" w:line="240" w:lineRule="auto"/>
        <w:ind w:left="1418" w:hanging="567"/>
      </w:pPr>
      <w:r>
        <w:t>•</w:t>
      </w:r>
      <w:r>
        <w:tab/>
        <w:t xml:space="preserve">Ongoing fact-finding, review and workshop design: 13th February – 21st March </w:t>
      </w:r>
    </w:p>
    <w:p w14:paraId="19C17911" w14:textId="77777777" w:rsidR="00294468" w:rsidRDefault="00294468" w:rsidP="00294468">
      <w:pPr>
        <w:spacing w:after="0" w:line="240" w:lineRule="auto"/>
        <w:ind w:left="1418" w:hanging="567"/>
      </w:pPr>
      <w:r>
        <w:t>•</w:t>
      </w:r>
      <w:r>
        <w:tab/>
        <w:t>Development Workshop: 21st March (full day)</w:t>
      </w:r>
    </w:p>
    <w:p w14:paraId="2E4E4BCE" w14:textId="77777777" w:rsidR="00294468" w:rsidRDefault="00294468" w:rsidP="00294468">
      <w:pPr>
        <w:spacing w:after="0" w:line="240" w:lineRule="auto"/>
        <w:ind w:left="1418" w:hanging="567"/>
      </w:pPr>
      <w:r>
        <w:t>•</w:t>
      </w:r>
      <w:r>
        <w:tab/>
        <w:t>Task &amp; Finish Group Activity, Consultation &amp; Debate: 22nd March – 11th April</w:t>
      </w:r>
    </w:p>
    <w:p w14:paraId="0CBEF462" w14:textId="77777777" w:rsidR="00294468" w:rsidRDefault="00294468" w:rsidP="00294468">
      <w:pPr>
        <w:spacing w:after="0" w:line="240" w:lineRule="auto"/>
        <w:ind w:left="1418" w:hanging="567"/>
      </w:pPr>
      <w:r>
        <w:t>•</w:t>
      </w:r>
      <w:r>
        <w:tab/>
        <w:t>Ongoing Consultation (led by T&amp;F members): 11th – 16th April</w:t>
      </w:r>
    </w:p>
    <w:p w14:paraId="14B1FF36" w14:textId="77777777" w:rsidR="00294468" w:rsidRDefault="00294468" w:rsidP="00294468">
      <w:pPr>
        <w:spacing w:after="0" w:line="240" w:lineRule="auto"/>
        <w:ind w:left="1418" w:hanging="567"/>
      </w:pPr>
      <w:r>
        <w:t>•</w:t>
      </w:r>
      <w:r>
        <w:tab/>
        <w:t>Draft to Associate Deans (Education) for final Faculty / School consultation: 16th – 24th April</w:t>
      </w:r>
    </w:p>
    <w:p w14:paraId="0B988985" w14:textId="77777777" w:rsidR="00294468" w:rsidRDefault="00294468" w:rsidP="00294468">
      <w:pPr>
        <w:spacing w:after="0" w:line="240" w:lineRule="auto"/>
        <w:ind w:left="2153" w:hanging="735"/>
      </w:pPr>
    </w:p>
    <w:p w14:paraId="75E0710E" w14:textId="77777777" w:rsidR="00294468" w:rsidRDefault="00294468" w:rsidP="00294468">
      <w:pPr>
        <w:spacing w:after="0" w:line="240" w:lineRule="auto"/>
        <w:ind w:left="851"/>
      </w:pPr>
      <w:r>
        <w:t>The proposed descriptor</w:t>
      </w:r>
      <w:r w:rsidRPr="009A6EDC">
        <w:t xml:space="preserve"> seek</w:t>
      </w:r>
      <w:r>
        <w:t>s</w:t>
      </w:r>
      <w:r w:rsidRPr="009A6EDC">
        <w:t xml:space="preserve"> to provide an unambi</w:t>
      </w:r>
      <w:r>
        <w:t xml:space="preserve">guous framework </w:t>
      </w:r>
      <w:r w:rsidRPr="009A6EDC">
        <w:t>for all Professional Practice modules across the Institution whilst still allowing Course Teams to reflect the essence of each discipline.</w:t>
      </w:r>
    </w:p>
    <w:p w14:paraId="3E5E19B3" w14:textId="77777777" w:rsidR="00294468" w:rsidRDefault="00294468" w:rsidP="00294468">
      <w:pPr>
        <w:spacing w:after="0" w:line="240" w:lineRule="auto"/>
        <w:ind w:left="851"/>
      </w:pPr>
    </w:p>
    <w:p w14:paraId="3B0CCC5B" w14:textId="77777777" w:rsidR="00294468" w:rsidRDefault="00294468" w:rsidP="002943C2">
      <w:pPr>
        <w:pStyle w:val="ListParagraph"/>
        <w:spacing w:after="0" w:line="240" w:lineRule="auto"/>
        <w:ind w:left="284"/>
        <w:jc w:val="both"/>
        <w:rPr>
          <w:rFonts w:ascii="Arial" w:hAnsi="Arial" w:cs="Arial"/>
          <w:sz w:val="24"/>
          <w:szCs w:val="24"/>
        </w:rPr>
      </w:pPr>
    </w:p>
    <w:p w14:paraId="7508A136" w14:textId="77777777" w:rsidR="00963B10" w:rsidRDefault="002943C2" w:rsidP="002943C2">
      <w:pPr>
        <w:pStyle w:val="ListParagraph"/>
        <w:spacing w:after="0" w:line="240" w:lineRule="auto"/>
        <w:ind w:left="284"/>
        <w:jc w:val="both"/>
        <w:rPr>
          <w:rFonts w:ascii="Arial" w:hAnsi="Arial" w:cs="Arial"/>
          <w:sz w:val="24"/>
          <w:szCs w:val="24"/>
        </w:rPr>
      </w:pPr>
      <w:r>
        <w:rPr>
          <w:rFonts w:ascii="Arial" w:hAnsi="Arial" w:cs="Arial"/>
          <w:sz w:val="24"/>
          <w:szCs w:val="24"/>
        </w:rPr>
        <w:t>EXTRACT FROM TEACHING AND LEARNING COMMITTEE MINUTES</w:t>
      </w:r>
    </w:p>
    <w:p w14:paraId="671D92DF" w14:textId="77777777" w:rsidR="00963B10" w:rsidRDefault="00963B10" w:rsidP="002943C2">
      <w:pPr>
        <w:pStyle w:val="ListParagraph"/>
        <w:spacing w:after="0" w:line="240" w:lineRule="auto"/>
        <w:ind w:left="284"/>
        <w:jc w:val="both"/>
        <w:rPr>
          <w:rFonts w:ascii="Arial" w:hAnsi="Arial" w:cs="Arial"/>
          <w:sz w:val="24"/>
          <w:szCs w:val="24"/>
        </w:rPr>
      </w:pPr>
    </w:p>
    <w:p w14:paraId="74985165" w14:textId="77777777" w:rsidR="00963B10" w:rsidRPr="00963B10" w:rsidRDefault="00963B10" w:rsidP="002943C2">
      <w:pPr>
        <w:pStyle w:val="ListParagraph"/>
        <w:spacing w:after="0" w:line="240" w:lineRule="auto"/>
        <w:ind w:left="284"/>
        <w:jc w:val="both"/>
        <w:rPr>
          <w:rFonts w:ascii="Arial" w:hAnsi="Arial" w:cs="Arial"/>
          <w:b/>
          <w:sz w:val="24"/>
          <w:szCs w:val="24"/>
          <w:u w:val="single"/>
        </w:rPr>
      </w:pPr>
      <w:r w:rsidRPr="00963B10">
        <w:rPr>
          <w:rFonts w:ascii="Arial" w:hAnsi="Arial" w:cs="Arial"/>
          <w:b/>
          <w:sz w:val="24"/>
          <w:szCs w:val="24"/>
          <w:u w:val="single"/>
        </w:rPr>
        <w:t>18 June 2014</w:t>
      </w:r>
    </w:p>
    <w:p w14:paraId="12778E79" w14:textId="77777777" w:rsidR="00963B10" w:rsidRDefault="00963B10" w:rsidP="002943C2">
      <w:pPr>
        <w:pStyle w:val="ListParagraph"/>
        <w:spacing w:after="0" w:line="240" w:lineRule="auto"/>
        <w:ind w:left="284"/>
        <w:jc w:val="both"/>
        <w:rPr>
          <w:rFonts w:ascii="Arial" w:hAnsi="Arial" w:cs="Arial"/>
          <w:sz w:val="24"/>
          <w:szCs w:val="24"/>
        </w:rPr>
      </w:pPr>
    </w:p>
    <w:p w14:paraId="0FA17853" w14:textId="77777777" w:rsidR="00963B10" w:rsidRPr="00EF072F" w:rsidRDefault="00963B10" w:rsidP="00963B10">
      <w:pPr>
        <w:spacing w:after="0" w:line="240" w:lineRule="auto"/>
        <w:ind w:left="284" w:hanging="851"/>
        <w:jc w:val="both"/>
        <w:rPr>
          <w:rFonts w:ascii="Arial" w:hAnsi="Arial" w:cs="Arial"/>
          <w:sz w:val="24"/>
          <w:szCs w:val="24"/>
        </w:rPr>
      </w:pPr>
      <w:r w:rsidRPr="00EF072F">
        <w:rPr>
          <w:rFonts w:ascii="Arial" w:hAnsi="Arial" w:cs="Arial"/>
          <w:sz w:val="24"/>
          <w:szCs w:val="24"/>
        </w:rPr>
        <w:t>14.42</w:t>
      </w:r>
      <w:r w:rsidRPr="00EF072F">
        <w:rPr>
          <w:rFonts w:ascii="Arial" w:hAnsi="Arial" w:cs="Arial"/>
          <w:sz w:val="24"/>
          <w:szCs w:val="24"/>
        </w:rPr>
        <w:tab/>
      </w:r>
      <w:r w:rsidRPr="00EF072F">
        <w:rPr>
          <w:rFonts w:ascii="Arial" w:hAnsi="Arial" w:cs="Arial"/>
          <w:sz w:val="24"/>
          <w:szCs w:val="24"/>
          <w:u w:val="single"/>
        </w:rPr>
        <w:t>Assessment of Placement</w:t>
      </w:r>
    </w:p>
    <w:p w14:paraId="4091BCC1" w14:textId="77777777" w:rsidR="00963B10" w:rsidRPr="00EF072F" w:rsidRDefault="00963B10" w:rsidP="00963B10">
      <w:pPr>
        <w:spacing w:after="0" w:line="240" w:lineRule="auto"/>
        <w:ind w:left="284" w:hanging="851"/>
        <w:jc w:val="both"/>
        <w:rPr>
          <w:rFonts w:ascii="Arial" w:hAnsi="Arial" w:cs="Arial"/>
          <w:sz w:val="24"/>
          <w:szCs w:val="24"/>
        </w:rPr>
      </w:pPr>
    </w:p>
    <w:p w14:paraId="3202FF39" w14:textId="77777777" w:rsidR="00963B10" w:rsidRPr="00EF072F" w:rsidRDefault="00963B10" w:rsidP="00963B10">
      <w:pPr>
        <w:spacing w:after="0" w:line="240" w:lineRule="auto"/>
        <w:ind w:left="284"/>
        <w:jc w:val="both"/>
        <w:rPr>
          <w:rFonts w:ascii="Arial" w:hAnsi="Arial" w:cs="Arial"/>
          <w:sz w:val="24"/>
          <w:szCs w:val="24"/>
        </w:rPr>
      </w:pPr>
      <w:r w:rsidRPr="00EF072F">
        <w:rPr>
          <w:rFonts w:ascii="Arial" w:hAnsi="Arial" w:cs="Arial"/>
          <w:sz w:val="24"/>
          <w:szCs w:val="24"/>
        </w:rPr>
        <w:t xml:space="preserve">The Committee noted that focus groups of placement tutors had considered models for the assessment of the placement year.  It was now proposed to have one standard model where a percentage mark would be used for the student project but the academic tutor and industrial supervisor’s reports would be competence-based and graded ‘pass/fail’ only; an exceptional route, requiring the Sub-Committee’s approval, would allow a percentage mark for each component.  </w:t>
      </w:r>
    </w:p>
    <w:p w14:paraId="3805EFA5" w14:textId="77777777" w:rsidR="00963B10" w:rsidRPr="00EF072F" w:rsidRDefault="00963B10" w:rsidP="00963B10">
      <w:pPr>
        <w:spacing w:after="0" w:line="240" w:lineRule="auto"/>
        <w:ind w:left="284"/>
        <w:jc w:val="both"/>
        <w:rPr>
          <w:rFonts w:ascii="Arial" w:hAnsi="Arial" w:cs="Arial"/>
          <w:sz w:val="24"/>
          <w:szCs w:val="24"/>
        </w:rPr>
      </w:pPr>
    </w:p>
    <w:p w14:paraId="56C760C9" w14:textId="77777777" w:rsidR="00963B10" w:rsidRPr="00EF072F" w:rsidRDefault="00963B10" w:rsidP="00963B10">
      <w:pPr>
        <w:spacing w:after="0" w:line="240" w:lineRule="auto"/>
        <w:ind w:left="284"/>
        <w:jc w:val="both"/>
        <w:rPr>
          <w:rFonts w:ascii="Arial" w:hAnsi="Arial" w:cs="Arial"/>
          <w:sz w:val="24"/>
          <w:szCs w:val="24"/>
        </w:rPr>
      </w:pPr>
      <w:r w:rsidRPr="00EF072F">
        <w:rPr>
          <w:rFonts w:ascii="Arial" w:hAnsi="Arial" w:cs="Arial"/>
          <w:sz w:val="24"/>
          <w:szCs w:val="24"/>
        </w:rPr>
        <w:t>Professors McClenaghan and McKillop reported that, in light of the ongoing debate on this matter, there had already been improvements made in the process, including the training and guidance provided for industrial supervisors and that those courses which benefited from close collaboration with industry, including involvement in assessment judgements, should not be obliged to overcome an additional approval hurdle.  The Chair suggested that both models could be adopted as standard and that only other variants should require justification either to an evaluation/revalidation panel for recommendation to the Learning and Teaching Committee or directly to the Committee.</w:t>
      </w:r>
    </w:p>
    <w:p w14:paraId="39D8E2AD" w14:textId="77777777" w:rsidR="00963B10" w:rsidRPr="00EF072F" w:rsidRDefault="00963B10" w:rsidP="00963B10">
      <w:pPr>
        <w:spacing w:after="0" w:line="240" w:lineRule="auto"/>
        <w:ind w:left="284"/>
        <w:jc w:val="both"/>
        <w:rPr>
          <w:rFonts w:ascii="Arial" w:hAnsi="Arial" w:cs="Arial"/>
          <w:sz w:val="24"/>
          <w:szCs w:val="24"/>
        </w:rPr>
      </w:pPr>
    </w:p>
    <w:p w14:paraId="507CD0A7" w14:textId="77777777" w:rsidR="00963B10" w:rsidRPr="00EF072F" w:rsidRDefault="00963B10" w:rsidP="00963B10">
      <w:pPr>
        <w:spacing w:after="0" w:line="240" w:lineRule="auto"/>
        <w:ind w:left="284"/>
        <w:jc w:val="both"/>
        <w:rPr>
          <w:rFonts w:ascii="Arial" w:hAnsi="Arial" w:cs="Arial"/>
          <w:sz w:val="24"/>
          <w:szCs w:val="24"/>
        </w:rPr>
      </w:pPr>
      <w:r w:rsidRPr="00EF072F">
        <w:rPr>
          <w:rFonts w:ascii="Arial" w:hAnsi="Arial" w:cs="Arial"/>
          <w:sz w:val="24"/>
          <w:szCs w:val="24"/>
        </w:rPr>
        <w:t xml:space="preserve">The Committee considered the further proposal from the Sub-Committee that the award mark for the Diploma in Professional Practice/(International) be lowered to 40% in line with other undergraduate awards and that a </w:t>
      </w:r>
      <w:r>
        <w:rPr>
          <w:rFonts w:ascii="Arial" w:hAnsi="Arial" w:cs="Arial"/>
          <w:sz w:val="24"/>
          <w:szCs w:val="24"/>
        </w:rPr>
        <w:t xml:space="preserve">Distinction be introduced </w:t>
      </w:r>
      <w:r>
        <w:rPr>
          <w:rFonts w:ascii="Arial" w:hAnsi="Arial" w:cs="Arial"/>
          <w:sz w:val="24"/>
          <w:szCs w:val="24"/>
        </w:rPr>
        <w:lastRenderedPageBreak/>
        <w:t xml:space="preserve">(70%) and that the mark for </w:t>
      </w:r>
      <w:r w:rsidRPr="00EF072F">
        <w:rPr>
          <w:rFonts w:ascii="Arial" w:hAnsi="Arial" w:cs="Arial"/>
          <w:sz w:val="24"/>
          <w:szCs w:val="24"/>
        </w:rPr>
        <w:t xml:space="preserve">Commendation be </w:t>
      </w:r>
      <w:r>
        <w:rPr>
          <w:rFonts w:ascii="Arial" w:hAnsi="Arial" w:cs="Arial"/>
          <w:sz w:val="24"/>
          <w:szCs w:val="24"/>
        </w:rPr>
        <w:t xml:space="preserve">set at </w:t>
      </w:r>
      <w:r w:rsidRPr="00EF072F">
        <w:rPr>
          <w:rFonts w:ascii="Arial" w:hAnsi="Arial" w:cs="Arial"/>
          <w:sz w:val="24"/>
          <w:szCs w:val="24"/>
        </w:rPr>
        <w:t xml:space="preserve">60%.  Currently a 50% standard was applied for the award, with students being permitted to progress to final year at 40%.   The Committee endorsed the </w:t>
      </w:r>
      <w:proofErr w:type="gramStart"/>
      <w:r w:rsidRPr="00EF072F">
        <w:rPr>
          <w:rFonts w:ascii="Arial" w:hAnsi="Arial" w:cs="Arial"/>
          <w:sz w:val="24"/>
          <w:szCs w:val="24"/>
        </w:rPr>
        <w:t>alignment, but</w:t>
      </w:r>
      <w:proofErr w:type="gramEnd"/>
      <w:r w:rsidRPr="00EF072F">
        <w:rPr>
          <w:rFonts w:ascii="Arial" w:hAnsi="Arial" w:cs="Arial"/>
          <w:sz w:val="24"/>
          <w:szCs w:val="24"/>
        </w:rPr>
        <w:t xml:space="preserve"> did not accept a proposal to amend the wording of regulations to permit Boards of Examiners to allow students who had failed the placement year to progress to final year.  It was noted that other mechanisms were already in place for exceptional circumstances such as non-availability and this could be extended to address early termination through redundancy.</w:t>
      </w:r>
    </w:p>
    <w:p w14:paraId="5F5D6D49" w14:textId="77777777" w:rsidR="00963B10" w:rsidRPr="00EF072F" w:rsidRDefault="00963B10" w:rsidP="00963B10">
      <w:pPr>
        <w:spacing w:after="0" w:line="240" w:lineRule="auto"/>
        <w:ind w:left="284"/>
        <w:jc w:val="both"/>
        <w:rPr>
          <w:rFonts w:ascii="Arial" w:hAnsi="Arial" w:cs="Arial"/>
          <w:sz w:val="24"/>
          <w:szCs w:val="24"/>
        </w:rPr>
      </w:pPr>
      <w:r w:rsidRPr="00EF072F">
        <w:rPr>
          <w:rFonts w:ascii="Arial" w:hAnsi="Arial" w:cs="Arial"/>
          <w:sz w:val="24"/>
          <w:szCs w:val="24"/>
        </w:rPr>
        <w:tab/>
      </w:r>
    </w:p>
    <w:p w14:paraId="1E366276" w14:textId="77777777" w:rsidR="00963B10" w:rsidRPr="00EF072F" w:rsidRDefault="00963B10" w:rsidP="00963B10">
      <w:pPr>
        <w:spacing w:after="0" w:line="240" w:lineRule="auto"/>
        <w:ind w:left="284"/>
        <w:jc w:val="both"/>
        <w:rPr>
          <w:rFonts w:ascii="Arial" w:hAnsi="Arial" w:cs="Arial"/>
          <w:sz w:val="24"/>
          <w:szCs w:val="24"/>
        </w:rPr>
      </w:pPr>
      <w:r w:rsidRPr="00EF072F">
        <w:rPr>
          <w:rFonts w:ascii="Arial" w:hAnsi="Arial" w:cs="Arial"/>
          <w:sz w:val="24"/>
          <w:szCs w:val="24"/>
        </w:rPr>
        <w:t>AGREED that with effect from placement year 2015/16:</w:t>
      </w:r>
    </w:p>
    <w:p w14:paraId="276C13A6" w14:textId="77777777" w:rsidR="00963B10" w:rsidRPr="00EF072F" w:rsidRDefault="00963B10" w:rsidP="00963B10">
      <w:pPr>
        <w:spacing w:after="0" w:line="240" w:lineRule="auto"/>
        <w:ind w:left="284"/>
        <w:jc w:val="both"/>
        <w:rPr>
          <w:rFonts w:ascii="Arial" w:hAnsi="Arial" w:cs="Arial"/>
          <w:sz w:val="24"/>
          <w:szCs w:val="24"/>
        </w:rPr>
      </w:pPr>
    </w:p>
    <w:p w14:paraId="783A856B" w14:textId="77777777" w:rsidR="00963B10" w:rsidRDefault="00963B10" w:rsidP="00963B10">
      <w:pPr>
        <w:pStyle w:val="ListParagraph"/>
        <w:numPr>
          <w:ilvl w:val="0"/>
          <w:numId w:val="4"/>
        </w:numPr>
        <w:spacing w:after="0" w:line="240" w:lineRule="auto"/>
        <w:ind w:left="1004"/>
        <w:jc w:val="both"/>
        <w:rPr>
          <w:rFonts w:ascii="Arial" w:hAnsi="Arial" w:cs="Arial"/>
          <w:sz w:val="24"/>
          <w:szCs w:val="24"/>
        </w:rPr>
      </w:pPr>
      <w:r w:rsidRPr="00EF072F">
        <w:rPr>
          <w:rFonts w:ascii="Arial" w:hAnsi="Arial" w:cs="Arial"/>
          <w:sz w:val="24"/>
          <w:szCs w:val="24"/>
        </w:rPr>
        <w:t xml:space="preserve">the two models for assessment of the placement year be adopted, and that any proposed alternatives required consideration by validation panels if appropriate to the timing of the proposal, and the Committee; </w:t>
      </w:r>
    </w:p>
    <w:p w14:paraId="781D49F6" w14:textId="77777777" w:rsidR="00963B10" w:rsidRPr="004E11F6" w:rsidRDefault="00963B10" w:rsidP="00963B10">
      <w:pPr>
        <w:spacing w:after="0" w:line="240" w:lineRule="auto"/>
        <w:ind w:left="284"/>
        <w:jc w:val="both"/>
        <w:rPr>
          <w:rFonts w:ascii="Arial" w:hAnsi="Arial" w:cs="Arial"/>
          <w:sz w:val="24"/>
          <w:szCs w:val="24"/>
        </w:rPr>
      </w:pPr>
    </w:p>
    <w:p w14:paraId="16AB5862" w14:textId="77777777" w:rsidR="00963B10" w:rsidRPr="00EF072F" w:rsidRDefault="00963B10" w:rsidP="00963B10">
      <w:pPr>
        <w:pStyle w:val="ListParagraph"/>
        <w:numPr>
          <w:ilvl w:val="0"/>
          <w:numId w:val="4"/>
        </w:numPr>
        <w:spacing w:after="0" w:line="240" w:lineRule="auto"/>
        <w:ind w:left="1004"/>
        <w:jc w:val="both"/>
        <w:rPr>
          <w:rFonts w:ascii="Arial" w:hAnsi="Arial" w:cs="Arial"/>
          <w:sz w:val="24"/>
          <w:szCs w:val="24"/>
        </w:rPr>
      </w:pPr>
      <w:r w:rsidRPr="00EF072F">
        <w:rPr>
          <w:rFonts w:ascii="Arial" w:hAnsi="Arial" w:cs="Arial"/>
          <w:sz w:val="24"/>
          <w:szCs w:val="24"/>
        </w:rPr>
        <w:t>it be recommended to Senate that the award mark for the Diploma in Professional Practice</w:t>
      </w:r>
      <w:r>
        <w:rPr>
          <w:rFonts w:ascii="Arial" w:hAnsi="Arial" w:cs="Arial"/>
          <w:sz w:val="24"/>
          <w:szCs w:val="24"/>
        </w:rPr>
        <w:t>/</w:t>
      </w:r>
      <w:r w:rsidRPr="00EF072F">
        <w:rPr>
          <w:rFonts w:ascii="Arial" w:hAnsi="Arial" w:cs="Arial"/>
          <w:sz w:val="24"/>
          <w:szCs w:val="24"/>
        </w:rPr>
        <w:t xml:space="preserve">(International) be lowered to 40% and a </w:t>
      </w:r>
      <w:r>
        <w:rPr>
          <w:rFonts w:ascii="Arial" w:hAnsi="Arial" w:cs="Arial"/>
          <w:sz w:val="24"/>
          <w:szCs w:val="24"/>
        </w:rPr>
        <w:t xml:space="preserve">Distinction </w:t>
      </w:r>
      <w:r w:rsidRPr="00EF072F">
        <w:rPr>
          <w:rFonts w:ascii="Arial" w:hAnsi="Arial" w:cs="Arial"/>
          <w:sz w:val="24"/>
          <w:szCs w:val="24"/>
        </w:rPr>
        <w:t xml:space="preserve">be introduced at </w:t>
      </w:r>
      <w:r>
        <w:rPr>
          <w:rFonts w:ascii="Arial" w:hAnsi="Arial" w:cs="Arial"/>
          <w:sz w:val="24"/>
          <w:szCs w:val="24"/>
        </w:rPr>
        <w:t>7</w:t>
      </w:r>
      <w:r w:rsidRPr="00EF072F">
        <w:rPr>
          <w:rFonts w:ascii="Arial" w:hAnsi="Arial" w:cs="Arial"/>
          <w:sz w:val="24"/>
          <w:szCs w:val="24"/>
        </w:rPr>
        <w:t xml:space="preserve">0%, </w:t>
      </w:r>
      <w:r>
        <w:rPr>
          <w:rFonts w:ascii="Arial" w:hAnsi="Arial" w:cs="Arial"/>
          <w:sz w:val="24"/>
          <w:szCs w:val="24"/>
        </w:rPr>
        <w:t>with the Commendation mark revised to 60% an</w:t>
      </w:r>
      <w:r w:rsidRPr="00EF072F">
        <w:rPr>
          <w:rFonts w:ascii="Arial" w:hAnsi="Arial" w:cs="Arial"/>
          <w:sz w:val="24"/>
          <w:szCs w:val="24"/>
        </w:rPr>
        <w:t xml:space="preserve">d </w:t>
      </w:r>
      <w:r>
        <w:rPr>
          <w:rFonts w:ascii="Arial" w:hAnsi="Arial" w:cs="Arial"/>
          <w:sz w:val="24"/>
          <w:szCs w:val="24"/>
        </w:rPr>
        <w:t xml:space="preserve">that </w:t>
      </w:r>
      <w:r w:rsidRPr="00EF072F">
        <w:rPr>
          <w:rFonts w:ascii="Arial" w:hAnsi="Arial" w:cs="Arial"/>
          <w:sz w:val="24"/>
          <w:szCs w:val="24"/>
        </w:rPr>
        <w:t>the regulations for the award be revised accordingly;</w:t>
      </w:r>
    </w:p>
    <w:p w14:paraId="466A5E60" w14:textId="77777777" w:rsidR="00963B10" w:rsidRPr="00EF072F" w:rsidRDefault="00963B10" w:rsidP="00963B10">
      <w:pPr>
        <w:pStyle w:val="ListParagraph"/>
        <w:spacing w:after="0" w:line="240" w:lineRule="auto"/>
        <w:rPr>
          <w:rFonts w:ascii="Arial" w:hAnsi="Arial" w:cs="Arial"/>
          <w:sz w:val="24"/>
          <w:szCs w:val="24"/>
        </w:rPr>
      </w:pPr>
    </w:p>
    <w:p w14:paraId="79B35A3E" w14:textId="77777777" w:rsidR="00963B10" w:rsidRPr="00EF072F" w:rsidRDefault="00963B10" w:rsidP="00963B10">
      <w:pPr>
        <w:pStyle w:val="ListParagraph"/>
        <w:numPr>
          <w:ilvl w:val="0"/>
          <w:numId w:val="4"/>
        </w:numPr>
        <w:spacing w:after="0" w:line="240" w:lineRule="auto"/>
        <w:ind w:left="1004"/>
        <w:jc w:val="both"/>
        <w:rPr>
          <w:rFonts w:ascii="Arial" w:hAnsi="Arial" w:cs="Arial"/>
          <w:sz w:val="24"/>
          <w:szCs w:val="24"/>
        </w:rPr>
      </w:pPr>
      <w:r w:rsidRPr="00EF072F">
        <w:rPr>
          <w:rFonts w:ascii="Arial" w:hAnsi="Arial" w:cs="Arial"/>
          <w:sz w:val="24"/>
          <w:szCs w:val="24"/>
        </w:rPr>
        <w:t>Faculties ensure that they revise course regulations and information to students, industrial supervisors and staff to reflect any changes which apply;</w:t>
      </w:r>
      <w:r>
        <w:rPr>
          <w:rFonts w:ascii="Arial" w:hAnsi="Arial" w:cs="Arial"/>
          <w:sz w:val="24"/>
          <w:szCs w:val="24"/>
        </w:rPr>
        <w:t xml:space="preserve"> </w:t>
      </w:r>
    </w:p>
    <w:p w14:paraId="709A06C3" w14:textId="77777777" w:rsidR="00963B10" w:rsidRPr="00EF072F" w:rsidRDefault="00963B10" w:rsidP="00963B10">
      <w:pPr>
        <w:pStyle w:val="ListParagraph"/>
        <w:spacing w:after="0" w:line="240" w:lineRule="auto"/>
        <w:rPr>
          <w:rFonts w:ascii="Arial" w:hAnsi="Arial" w:cs="Arial"/>
          <w:sz w:val="24"/>
          <w:szCs w:val="24"/>
        </w:rPr>
      </w:pPr>
    </w:p>
    <w:p w14:paraId="60026BFC" w14:textId="77777777" w:rsidR="00963B10" w:rsidRDefault="00963B10" w:rsidP="00963B10">
      <w:pPr>
        <w:pStyle w:val="ListParagraph"/>
        <w:numPr>
          <w:ilvl w:val="0"/>
          <w:numId w:val="4"/>
        </w:numPr>
        <w:spacing w:after="0" w:line="240" w:lineRule="auto"/>
        <w:ind w:left="993" w:hanging="709"/>
        <w:jc w:val="both"/>
      </w:pPr>
      <w:r w:rsidRPr="00BA5C4F">
        <w:rPr>
          <w:rFonts w:ascii="Arial" w:hAnsi="Arial" w:cs="Arial"/>
          <w:sz w:val="24"/>
          <w:szCs w:val="24"/>
        </w:rPr>
        <w:t xml:space="preserve">Faculties ensure that any professional body threshold standard be maintained in the assessment criteria for the 40% award mark.  </w:t>
      </w:r>
    </w:p>
    <w:p w14:paraId="57F59A35" w14:textId="77777777" w:rsidR="00963B10" w:rsidRDefault="00963B10" w:rsidP="002943C2">
      <w:pPr>
        <w:pStyle w:val="ListParagraph"/>
        <w:spacing w:after="0" w:line="240" w:lineRule="auto"/>
        <w:ind w:left="284"/>
        <w:jc w:val="both"/>
        <w:rPr>
          <w:rFonts w:ascii="Arial" w:hAnsi="Arial" w:cs="Arial"/>
          <w:sz w:val="24"/>
          <w:szCs w:val="24"/>
        </w:rPr>
      </w:pPr>
    </w:p>
    <w:p w14:paraId="0429C02B" w14:textId="77777777" w:rsidR="002943C2" w:rsidRPr="00963B10" w:rsidRDefault="002943C2" w:rsidP="002943C2">
      <w:pPr>
        <w:pStyle w:val="ListParagraph"/>
        <w:spacing w:after="0" w:line="240" w:lineRule="auto"/>
        <w:ind w:left="284"/>
        <w:jc w:val="both"/>
        <w:rPr>
          <w:rFonts w:ascii="Arial" w:hAnsi="Arial" w:cs="Arial"/>
          <w:b/>
          <w:sz w:val="24"/>
          <w:szCs w:val="24"/>
          <w:u w:val="single"/>
        </w:rPr>
      </w:pPr>
      <w:r w:rsidRPr="00963B10">
        <w:rPr>
          <w:rFonts w:ascii="Arial" w:hAnsi="Arial" w:cs="Arial"/>
          <w:b/>
          <w:sz w:val="24"/>
          <w:szCs w:val="24"/>
          <w:u w:val="single"/>
        </w:rPr>
        <w:t>27</w:t>
      </w:r>
      <w:r w:rsidR="00963B10">
        <w:rPr>
          <w:rFonts w:ascii="Arial" w:hAnsi="Arial" w:cs="Arial"/>
          <w:b/>
          <w:sz w:val="24"/>
          <w:szCs w:val="24"/>
          <w:u w:val="single"/>
        </w:rPr>
        <w:t xml:space="preserve"> March 20</w:t>
      </w:r>
      <w:r w:rsidRPr="00963B10">
        <w:rPr>
          <w:rFonts w:ascii="Arial" w:hAnsi="Arial" w:cs="Arial"/>
          <w:b/>
          <w:sz w:val="24"/>
          <w:szCs w:val="24"/>
          <w:u w:val="single"/>
        </w:rPr>
        <w:t>13</w:t>
      </w:r>
    </w:p>
    <w:p w14:paraId="50BDEE16" w14:textId="77777777" w:rsidR="002943C2" w:rsidRDefault="002943C2" w:rsidP="002943C2">
      <w:pPr>
        <w:pStyle w:val="ListParagraph"/>
        <w:spacing w:after="0" w:line="240" w:lineRule="auto"/>
        <w:ind w:left="284"/>
        <w:jc w:val="both"/>
        <w:rPr>
          <w:rFonts w:ascii="Arial" w:hAnsi="Arial" w:cs="Arial"/>
          <w:sz w:val="24"/>
          <w:szCs w:val="24"/>
        </w:rPr>
      </w:pPr>
    </w:p>
    <w:p w14:paraId="2163B23D" w14:textId="77777777" w:rsidR="002943C2" w:rsidRPr="0050142C" w:rsidRDefault="002943C2" w:rsidP="002943C2">
      <w:pPr>
        <w:pStyle w:val="ListParagraph"/>
        <w:numPr>
          <w:ilvl w:val="1"/>
          <w:numId w:val="3"/>
        </w:numPr>
        <w:spacing w:after="0" w:line="240" w:lineRule="auto"/>
        <w:ind w:left="284" w:hanging="851"/>
        <w:jc w:val="both"/>
        <w:rPr>
          <w:rFonts w:ascii="Arial" w:hAnsi="Arial" w:cs="Arial"/>
          <w:sz w:val="24"/>
          <w:szCs w:val="24"/>
        </w:rPr>
      </w:pPr>
      <w:r w:rsidRPr="0050142C">
        <w:rPr>
          <w:rFonts w:ascii="Arial" w:hAnsi="Arial" w:cs="Arial"/>
          <w:sz w:val="24"/>
          <w:szCs w:val="24"/>
          <w:u w:val="single"/>
        </w:rPr>
        <w:t>Assessment of Placement</w:t>
      </w:r>
      <w:r w:rsidRPr="0050142C">
        <w:rPr>
          <w:rFonts w:ascii="Arial" w:hAnsi="Arial" w:cs="Arial"/>
          <w:sz w:val="24"/>
          <w:szCs w:val="24"/>
        </w:rPr>
        <w:t xml:space="preserve"> (Item 1ii)</w:t>
      </w:r>
    </w:p>
    <w:p w14:paraId="08B98563" w14:textId="77777777" w:rsidR="002943C2" w:rsidRPr="0050142C" w:rsidRDefault="002943C2" w:rsidP="002943C2">
      <w:pPr>
        <w:spacing w:after="0" w:line="240" w:lineRule="auto"/>
        <w:ind w:left="-567"/>
        <w:jc w:val="both"/>
        <w:rPr>
          <w:rFonts w:ascii="Arial" w:hAnsi="Arial" w:cs="Arial"/>
          <w:sz w:val="24"/>
          <w:szCs w:val="24"/>
        </w:rPr>
      </w:pPr>
    </w:p>
    <w:p w14:paraId="503ED56B" w14:textId="77777777" w:rsidR="002943C2" w:rsidRDefault="002943C2" w:rsidP="002943C2">
      <w:pPr>
        <w:spacing w:after="0" w:line="240" w:lineRule="auto"/>
        <w:ind w:left="284"/>
        <w:jc w:val="both"/>
        <w:rPr>
          <w:rFonts w:ascii="Arial" w:hAnsi="Arial" w:cs="Arial"/>
          <w:sz w:val="24"/>
          <w:szCs w:val="24"/>
        </w:rPr>
      </w:pPr>
      <w:r w:rsidRPr="0050142C">
        <w:rPr>
          <w:rFonts w:ascii="Arial" w:hAnsi="Arial" w:cs="Arial"/>
          <w:sz w:val="24"/>
          <w:szCs w:val="24"/>
        </w:rPr>
        <w:t xml:space="preserve">The Committee noted that a working group from the Ulster Business School had </w:t>
      </w:r>
      <w:r>
        <w:rPr>
          <w:rFonts w:ascii="Arial" w:hAnsi="Arial" w:cs="Arial"/>
          <w:sz w:val="24"/>
          <w:szCs w:val="24"/>
        </w:rPr>
        <w:t xml:space="preserve">considered </w:t>
      </w:r>
      <w:r w:rsidRPr="0050142C">
        <w:rPr>
          <w:rFonts w:ascii="Arial" w:hAnsi="Arial" w:cs="Arial"/>
          <w:sz w:val="24"/>
          <w:szCs w:val="24"/>
        </w:rPr>
        <w:t xml:space="preserve">the implementation of the new </w:t>
      </w:r>
      <w:r>
        <w:rPr>
          <w:rFonts w:ascii="Arial" w:hAnsi="Arial" w:cs="Arial"/>
          <w:sz w:val="24"/>
          <w:szCs w:val="24"/>
        </w:rPr>
        <w:t xml:space="preserve">grade-based </w:t>
      </w:r>
      <w:r w:rsidRPr="0050142C">
        <w:rPr>
          <w:rFonts w:ascii="Arial" w:hAnsi="Arial" w:cs="Arial"/>
          <w:sz w:val="24"/>
          <w:szCs w:val="24"/>
        </w:rPr>
        <w:t xml:space="preserve">assessment </w:t>
      </w:r>
      <w:r>
        <w:rPr>
          <w:rFonts w:ascii="Arial" w:hAnsi="Arial" w:cs="Arial"/>
          <w:sz w:val="24"/>
          <w:szCs w:val="24"/>
        </w:rPr>
        <w:t xml:space="preserve">scheme for placement, </w:t>
      </w:r>
      <w:r w:rsidRPr="0050142C">
        <w:rPr>
          <w:rFonts w:ascii="Arial" w:hAnsi="Arial" w:cs="Arial"/>
          <w:sz w:val="24"/>
          <w:szCs w:val="24"/>
        </w:rPr>
        <w:t xml:space="preserve">in particular </w:t>
      </w:r>
      <w:r>
        <w:rPr>
          <w:rFonts w:ascii="Arial" w:hAnsi="Arial" w:cs="Arial"/>
          <w:sz w:val="24"/>
          <w:szCs w:val="24"/>
        </w:rPr>
        <w:t>the implications of the g</w:t>
      </w:r>
      <w:r w:rsidRPr="0050142C">
        <w:rPr>
          <w:rFonts w:ascii="Arial" w:hAnsi="Arial" w:cs="Arial"/>
          <w:sz w:val="24"/>
          <w:szCs w:val="24"/>
        </w:rPr>
        <w:t xml:space="preserve">rading grid.  </w:t>
      </w:r>
      <w:r>
        <w:rPr>
          <w:rFonts w:ascii="Arial" w:hAnsi="Arial" w:cs="Arial"/>
          <w:sz w:val="24"/>
          <w:szCs w:val="24"/>
        </w:rPr>
        <w:t xml:space="preserve">The Faculty was concerned that its analysis of a sample of programmes revealed </w:t>
      </w:r>
      <w:r w:rsidRPr="0050142C">
        <w:rPr>
          <w:rFonts w:ascii="Arial" w:hAnsi="Arial" w:cs="Arial"/>
          <w:sz w:val="24"/>
          <w:szCs w:val="24"/>
        </w:rPr>
        <w:t>that the new model w</w:t>
      </w:r>
      <w:r>
        <w:rPr>
          <w:rFonts w:ascii="Arial" w:hAnsi="Arial" w:cs="Arial"/>
          <w:sz w:val="24"/>
          <w:szCs w:val="24"/>
        </w:rPr>
        <w:t>as likely to reduce significantly the number of students achieving the new highest grade (Distinction) compared to those achieving the highest grade (Commendation) in the current scheme.  The Faculty, therefore, proposed a reduced weighting for the employer’s and academic supervisor’s reports, which departed from a previously approved standard placement module description.  The Committee noted that, while producing more Distinctions, by the same analysis this also compared unfavourably with the existing arrangement.</w:t>
      </w:r>
    </w:p>
    <w:p w14:paraId="158E5B64" w14:textId="77777777" w:rsidR="002943C2" w:rsidRDefault="002943C2" w:rsidP="002943C2">
      <w:pPr>
        <w:spacing w:after="0" w:line="240" w:lineRule="auto"/>
        <w:ind w:left="284"/>
        <w:jc w:val="both"/>
        <w:rPr>
          <w:rFonts w:ascii="Arial" w:hAnsi="Arial" w:cs="Arial"/>
          <w:sz w:val="24"/>
          <w:szCs w:val="24"/>
        </w:rPr>
      </w:pPr>
    </w:p>
    <w:p w14:paraId="1154C5ED" w14:textId="77777777" w:rsidR="002943C2" w:rsidRPr="0050142C" w:rsidRDefault="002943C2" w:rsidP="002943C2">
      <w:pPr>
        <w:spacing w:after="0" w:line="240" w:lineRule="auto"/>
        <w:ind w:left="284"/>
        <w:jc w:val="both"/>
        <w:rPr>
          <w:rFonts w:ascii="Arial" w:hAnsi="Arial" w:cs="Arial"/>
          <w:sz w:val="24"/>
          <w:szCs w:val="24"/>
        </w:rPr>
      </w:pPr>
      <w:r>
        <w:rPr>
          <w:rFonts w:ascii="Arial" w:hAnsi="Arial" w:cs="Arial"/>
          <w:sz w:val="24"/>
          <w:szCs w:val="24"/>
        </w:rPr>
        <w:t xml:space="preserve">Members reported that the change from percentage marks had given rise to significant concerns in many course committees/schools and they were </w:t>
      </w:r>
      <w:r w:rsidRPr="0050142C">
        <w:rPr>
          <w:rFonts w:ascii="Arial" w:hAnsi="Arial" w:cs="Arial"/>
          <w:sz w:val="24"/>
          <w:szCs w:val="24"/>
        </w:rPr>
        <w:t xml:space="preserve">not convinced that the new model was appropriate and </w:t>
      </w:r>
      <w:r>
        <w:rPr>
          <w:rFonts w:ascii="Arial" w:hAnsi="Arial" w:cs="Arial"/>
          <w:sz w:val="24"/>
          <w:szCs w:val="24"/>
        </w:rPr>
        <w:t xml:space="preserve">considered that the previous decision may </w:t>
      </w:r>
      <w:r w:rsidRPr="0050142C">
        <w:rPr>
          <w:rFonts w:ascii="Arial" w:hAnsi="Arial" w:cs="Arial"/>
          <w:sz w:val="24"/>
          <w:szCs w:val="24"/>
        </w:rPr>
        <w:t>need to be revoked.</w:t>
      </w:r>
    </w:p>
    <w:p w14:paraId="7C39CA38" w14:textId="77777777" w:rsidR="002943C2" w:rsidRDefault="002943C2" w:rsidP="002943C2">
      <w:pPr>
        <w:spacing w:after="0" w:line="240" w:lineRule="auto"/>
        <w:ind w:left="284"/>
        <w:jc w:val="both"/>
        <w:rPr>
          <w:rFonts w:ascii="Arial" w:hAnsi="Arial" w:cs="Arial"/>
          <w:sz w:val="24"/>
          <w:szCs w:val="24"/>
        </w:rPr>
      </w:pPr>
    </w:p>
    <w:p w14:paraId="500FBE3A" w14:textId="77777777" w:rsidR="002943C2" w:rsidRDefault="002943C2" w:rsidP="002943C2">
      <w:pPr>
        <w:spacing w:after="0" w:line="240" w:lineRule="auto"/>
        <w:ind w:left="284"/>
        <w:jc w:val="both"/>
        <w:rPr>
          <w:rFonts w:ascii="Arial" w:hAnsi="Arial" w:cs="Arial"/>
          <w:sz w:val="24"/>
          <w:szCs w:val="24"/>
        </w:rPr>
      </w:pPr>
      <w:r w:rsidRPr="0050142C">
        <w:rPr>
          <w:rFonts w:ascii="Arial" w:hAnsi="Arial" w:cs="Arial"/>
          <w:sz w:val="24"/>
          <w:szCs w:val="24"/>
        </w:rPr>
        <w:t xml:space="preserve">The Chair expressed </w:t>
      </w:r>
      <w:r>
        <w:rPr>
          <w:rFonts w:ascii="Arial" w:hAnsi="Arial" w:cs="Arial"/>
          <w:sz w:val="24"/>
          <w:szCs w:val="24"/>
        </w:rPr>
        <w:t>disquiet</w:t>
      </w:r>
      <w:r w:rsidRPr="0050142C">
        <w:rPr>
          <w:rFonts w:ascii="Arial" w:hAnsi="Arial" w:cs="Arial"/>
          <w:sz w:val="24"/>
          <w:szCs w:val="24"/>
        </w:rPr>
        <w:t xml:space="preserve"> that </w:t>
      </w:r>
      <w:r>
        <w:rPr>
          <w:rFonts w:ascii="Arial" w:hAnsi="Arial" w:cs="Arial"/>
          <w:sz w:val="24"/>
          <w:szCs w:val="24"/>
        </w:rPr>
        <w:t>issues</w:t>
      </w:r>
      <w:r w:rsidRPr="0050142C">
        <w:rPr>
          <w:rFonts w:ascii="Arial" w:hAnsi="Arial" w:cs="Arial"/>
          <w:sz w:val="24"/>
          <w:szCs w:val="24"/>
        </w:rPr>
        <w:t xml:space="preserve"> were being </w:t>
      </w:r>
      <w:r>
        <w:rPr>
          <w:rFonts w:ascii="Arial" w:hAnsi="Arial" w:cs="Arial"/>
          <w:sz w:val="24"/>
          <w:szCs w:val="24"/>
        </w:rPr>
        <w:t xml:space="preserve">identified by the Sub-Committee at this late stage following Senate approval.  </w:t>
      </w:r>
      <w:r w:rsidRPr="0050142C">
        <w:rPr>
          <w:rFonts w:ascii="Arial" w:hAnsi="Arial" w:cs="Arial"/>
          <w:sz w:val="24"/>
          <w:szCs w:val="24"/>
        </w:rPr>
        <w:t xml:space="preserve">It was noted that a substantial amount of work had already been undertaken by Faculty staff and </w:t>
      </w:r>
      <w:r>
        <w:rPr>
          <w:rFonts w:ascii="Arial" w:hAnsi="Arial" w:cs="Arial"/>
          <w:sz w:val="24"/>
          <w:szCs w:val="24"/>
        </w:rPr>
        <w:lastRenderedPageBreak/>
        <w:t xml:space="preserve">central departments </w:t>
      </w:r>
      <w:r w:rsidRPr="0050142C">
        <w:rPr>
          <w:rFonts w:ascii="Arial" w:hAnsi="Arial" w:cs="Arial"/>
          <w:sz w:val="24"/>
          <w:szCs w:val="24"/>
        </w:rPr>
        <w:t xml:space="preserve">in preparation for implementation </w:t>
      </w:r>
      <w:r>
        <w:rPr>
          <w:rFonts w:ascii="Arial" w:hAnsi="Arial" w:cs="Arial"/>
          <w:sz w:val="24"/>
          <w:szCs w:val="24"/>
        </w:rPr>
        <w:t>in 2013/14</w:t>
      </w:r>
      <w:r w:rsidRPr="0050142C">
        <w:rPr>
          <w:rFonts w:ascii="Arial" w:hAnsi="Arial" w:cs="Arial"/>
          <w:sz w:val="24"/>
          <w:szCs w:val="24"/>
        </w:rPr>
        <w:t xml:space="preserve">.  Committee members </w:t>
      </w:r>
      <w:r>
        <w:rPr>
          <w:rFonts w:ascii="Arial" w:hAnsi="Arial" w:cs="Arial"/>
          <w:sz w:val="24"/>
          <w:szCs w:val="24"/>
        </w:rPr>
        <w:t xml:space="preserve">shared the Chair’s concern </w:t>
      </w:r>
      <w:r w:rsidRPr="0050142C">
        <w:rPr>
          <w:rFonts w:ascii="Arial" w:hAnsi="Arial" w:cs="Arial"/>
          <w:sz w:val="24"/>
          <w:szCs w:val="24"/>
        </w:rPr>
        <w:t>that the implications of the new scheme had not been fully considered at th</w:t>
      </w:r>
      <w:r>
        <w:rPr>
          <w:rFonts w:ascii="Arial" w:hAnsi="Arial" w:cs="Arial"/>
          <w:sz w:val="24"/>
          <w:szCs w:val="24"/>
        </w:rPr>
        <w:t xml:space="preserve">e time it was recommended to it.  The Committee was also disappointed that the Sub-Committee had not taken a view on the Ulster Business School’s proposals before referring the matter to it. </w:t>
      </w:r>
    </w:p>
    <w:p w14:paraId="0701A8E4" w14:textId="77777777" w:rsidR="002943C2" w:rsidRDefault="002943C2" w:rsidP="002943C2">
      <w:pPr>
        <w:spacing w:after="0" w:line="240" w:lineRule="auto"/>
        <w:ind w:left="284"/>
        <w:jc w:val="both"/>
        <w:rPr>
          <w:rFonts w:ascii="Arial" w:hAnsi="Arial" w:cs="Arial"/>
          <w:sz w:val="24"/>
          <w:szCs w:val="24"/>
        </w:rPr>
      </w:pPr>
    </w:p>
    <w:p w14:paraId="65B8E2EE" w14:textId="77777777" w:rsidR="002943C2" w:rsidRPr="0050142C" w:rsidRDefault="002943C2" w:rsidP="002943C2">
      <w:pPr>
        <w:spacing w:after="0" w:line="240" w:lineRule="auto"/>
        <w:ind w:left="284"/>
        <w:jc w:val="both"/>
        <w:rPr>
          <w:rFonts w:ascii="Arial" w:hAnsi="Arial" w:cs="Arial"/>
          <w:sz w:val="24"/>
          <w:szCs w:val="24"/>
        </w:rPr>
      </w:pPr>
      <w:r w:rsidRPr="0050142C">
        <w:rPr>
          <w:rFonts w:ascii="Arial" w:hAnsi="Arial" w:cs="Arial"/>
          <w:sz w:val="24"/>
          <w:szCs w:val="24"/>
        </w:rPr>
        <w:t>AGREED that:</w:t>
      </w:r>
    </w:p>
    <w:p w14:paraId="00E6B5D5" w14:textId="77777777" w:rsidR="002943C2" w:rsidRPr="0050142C" w:rsidRDefault="002943C2" w:rsidP="002943C2">
      <w:pPr>
        <w:spacing w:after="0" w:line="240" w:lineRule="auto"/>
        <w:ind w:left="284"/>
        <w:jc w:val="both"/>
        <w:rPr>
          <w:rFonts w:ascii="Arial" w:hAnsi="Arial" w:cs="Arial"/>
          <w:sz w:val="24"/>
          <w:szCs w:val="24"/>
        </w:rPr>
      </w:pPr>
    </w:p>
    <w:p w14:paraId="2DDA590A" w14:textId="77777777" w:rsidR="002943C2" w:rsidRPr="0050142C" w:rsidRDefault="002943C2" w:rsidP="002943C2">
      <w:pPr>
        <w:pStyle w:val="ListParagraph"/>
        <w:numPr>
          <w:ilvl w:val="0"/>
          <w:numId w:val="1"/>
        </w:numPr>
        <w:spacing w:after="0" w:line="240" w:lineRule="auto"/>
        <w:jc w:val="both"/>
        <w:rPr>
          <w:rFonts w:ascii="Arial" w:hAnsi="Arial" w:cs="Arial"/>
          <w:sz w:val="24"/>
          <w:szCs w:val="24"/>
        </w:rPr>
      </w:pPr>
      <w:r w:rsidRPr="0050142C">
        <w:rPr>
          <w:rFonts w:ascii="Arial" w:hAnsi="Arial" w:cs="Arial"/>
          <w:sz w:val="24"/>
          <w:szCs w:val="24"/>
        </w:rPr>
        <w:t>it be recommended to Senate that the introduction of the new scheme be delayed and that it not be introduced for the 2013/14 academic year;</w:t>
      </w:r>
    </w:p>
    <w:p w14:paraId="2C969200" w14:textId="77777777" w:rsidR="002943C2" w:rsidRPr="0050142C" w:rsidRDefault="002943C2" w:rsidP="002943C2">
      <w:pPr>
        <w:spacing w:after="0" w:line="240" w:lineRule="auto"/>
        <w:jc w:val="both"/>
        <w:rPr>
          <w:rFonts w:ascii="Arial" w:hAnsi="Arial" w:cs="Arial"/>
          <w:sz w:val="24"/>
          <w:szCs w:val="24"/>
        </w:rPr>
      </w:pPr>
    </w:p>
    <w:p w14:paraId="276BE647" w14:textId="77777777" w:rsidR="002943C2" w:rsidRPr="0050142C" w:rsidRDefault="002943C2" w:rsidP="002943C2">
      <w:pPr>
        <w:pStyle w:val="ListParagraph"/>
        <w:numPr>
          <w:ilvl w:val="0"/>
          <w:numId w:val="1"/>
        </w:numPr>
        <w:spacing w:after="0" w:line="240" w:lineRule="auto"/>
        <w:jc w:val="both"/>
        <w:rPr>
          <w:rFonts w:ascii="Arial" w:hAnsi="Arial" w:cs="Arial"/>
          <w:sz w:val="24"/>
          <w:szCs w:val="24"/>
        </w:rPr>
      </w:pPr>
      <w:r w:rsidRPr="0050142C">
        <w:rPr>
          <w:rFonts w:ascii="Arial" w:hAnsi="Arial" w:cs="Arial"/>
          <w:sz w:val="24"/>
          <w:szCs w:val="24"/>
        </w:rPr>
        <w:t>the Sub-Committee revisit the merits of the grade-based scheme, compared to the mark-based scheme</w:t>
      </w:r>
      <w:r>
        <w:rPr>
          <w:rFonts w:ascii="Arial" w:hAnsi="Arial" w:cs="Arial"/>
          <w:sz w:val="24"/>
          <w:szCs w:val="24"/>
        </w:rPr>
        <w:t>,</w:t>
      </w:r>
      <w:r w:rsidRPr="0050142C">
        <w:rPr>
          <w:rFonts w:ascii="Arial" w:hAnsi="Arial" w:cs="Arial"/>
          <w:sz w:val="24"/>
          <w:szCs w:val="24"/>
        </w:rPr>
        <w:t xml:space="preserve"> and report back to the Committee;</w:t>
      </w:r>
    </w:p>
    <w:p w14:paraId="716DEC92" w14:textId="77777777" w:rsidR="002943C2" w:rsidRPr="0050142C" w:rsidRDefault="002943C2" w:rsidP="002943C2">
      <w:pPr>
        <w:pStyle w:val="ListParagraph"/>
        <w:spacing w:after="0" w:line="240" w:lineRule="auto"/>
        <w:rPr>
          <w:rFonts w:ascii="Arial" w:hAnsi="Arial" w:cs="Arial"/>
          <w:sz w:val="24"/>
          <w:szCs w:val="24"/>
        </w:rPr>
      </w:pPr>
    </w:p>
    <w:p w14:paraId="21199D22" w14:textId="77777777" w:rsidR="002943C2" w:rsidRPr="0050142C" w:rsidRDefault="002943C2" w:rsidP="002943C2">
      <w:pPr>
        <w:pStyle w:val="ListParagraph"/>
        <w:spacing w:after="0" w:line="240" w:lineRule="auto"/>
        <w:rPr>
          <w:rFonts w:ascii="Arial" w:hAnsi="Arial" w:cs="Arial"/>
          <w:sz w:val="24"/>
          <w:szCs w:val="24"/>
        </w:rPr>
      </w:pPr>
    </w:p>
    <w:p w14:paraId="6EADD56D" w14:textId="77777777" w:rsidR="002943C2" w:rsidRDefault="002943C2" w:rsidP="002943C2">
      <w:pPr>
        <w:spacing w:after="0" w:line="240" w:lineRule="auto"/>
        <w:ind w:left="284"/>
        <w:jc w:val="both"/>
        <w:rPr>
          <w:rFonts w:ascii="Arial" w:hAnsi="Arial" w:cs="Arial"/>
          <w:sz w:val="24"/>
          <w:szCs w:val="24"/>
        </w:rPr>
      </w:pPr>
    </w:p>
    <w:p w14:paraId="1DE199A8" w14:textId="77777777" w:rsidR="00BE7895" w:rsidRDefault="00EF5428"/>
    <w:sectPr w:rsidR="00BE7895" w:rsidSect="00ED09CC">
      <w:footerReference w:type="default" r:id="rId8"/>
      <w:pgSz w:w="11906" w:h="16838"/>
      <w:pgMar w:top="144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194B3" w14:textId="77777777" w:rsidR="00963B10" w:rsidRDefault="00963B10" w:rsidP="00963B10">
      <w:pPr>
        <w:spacing w:after="0" w:line="240" w:lineRule="auto"/>
      </w:pPr>
      <w:r>
        <w:separator/>
      </w:r>
    </w:p>
  </w:endnote>
  <w:endnote w:type="continuationSeparator" w:id="0">
    <w:p w14:paraId="24F6DB2F" w14:textId="77777777" w:rsidR="00963B10" w:rsidRDefault="00963B10" w:rsidP="0096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699094"/>
      <w:docPartObj>
        <w:docPartGallery w:val="Page Numbers (Bottom of Page)"/>
        <w:docPartUnique/>
      </w:docPartObj>
    </w:sdtPr>
    <w:sdtEndPr>
      <w:rPr>
        <w:noProof/>
      </w:rPr>
    </w:sdtEndPr>
    <w:sdtContent>
      <w:p w14:paraId="0D52E5BF" w14:textId="77777777" w:rsidR="00963B10" w:rsidRDefault="00963B10">
        <w:pPr>
          <w:pStyle w:val="Footer"/>
          <w:jc w:val="center"/>
        </w:pPr>
        <w:r>
          <w:fldChar w:fldCharType="begin"/>
        </w:r>
        <w:r>
          <w:instrText xml:space="preserve"> PAGE   \* MERGEFORMAT </w:instrText>
        </w:r>
        <w:r>
          <w:fldChar w:fldCharType="separate"/>
        </w:r>
        <w:r w:rsidR="00294468">
          <w:rPr>
            <w:noProof/>
          </w:rPr>
          <w:t>2</w:t>
        </w:r>
        <w:r>
          <w:rPr>
            <w:noProof/>
          </w:rPr>
          <w:fldChar w:fldCharType="end"/>
        </w:r>
      </w:p>
    </w:sdtContent>
  </w:sdt>
  <w:p w14:paraId="40448F54" w14:textId="77777777" w:rsidR="00963B10" w:rsidRDefault="0096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07A99" w14:textId="77777777" w:rsidR="00963B10" w:rsidRDefault="00963B10" w:rsidP="00963B10">
      <w:pPr>
        <w:spacing w:after="0" w:line="240" w:lineRule="auto"/>
      </w:pPr>
      <w:r>
        <w:separator/>
      </w:r>
    </w:p>
  </w:footnote>
  <w:footnote w:type="continuationSeparator" w:id="0">
    <w:p w14:paraId="62F3EAA8" w14:textId="77777777" w:rsidR="00963B10" w:rsidRDefault="00963B10" w:rsidP="00963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B7C30"/>
    <w:multiLevelType w:val="multilevel"/>
    <w:tmpl w:val="2B76ADF6"/>
    <w:lvl w:ilvl="0">
      <w:start w:val="13"/>
      <w:numFmt w:val="decimal"/>
      <w:lvlText w:val="%1"/>
      <w:lvlJc w:val="left"/>
      <w:pPr>
        <w:ind w:left="600" w:hanging="600"/>
      </w:pPr>
      <w:rPr>
        <w:rFonts w:hint="default"/>
      </w:rPr>
    </w:lvl>
    <w:lvl w:ilvl="1">
      <w:start w:val="11"/>
      <w:numFmt w:val="decimal"/>
      <w:lvlText w:val="%1.%2"/>
      <w:lvlJc w:val="left"/>
      <w:pPr>
        <w:ind w:left="33" w:hanging="60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1ED1728C"/>
    <w:multiLevelType w:val="multilevel"/>
    <w:tmpl w:val="713C92C8"/>
    <w:lvl w:ilvl="0">
      <w:start w:val="13"/>
      <w:numFmt w:val="decimal"/>
      <w:lvlText w:val="%1"/>
      <w:lvlJc w:val="left"/>
      <w:pPr>
        <w:ind w:left="600" w:hanging="600"/>
      </w:pPr>
      <w:rPr>
        <w:rFonts w:hint="default"/>
      </w:rPr>
    </w:lvl>
    <w:lvl w:ilvl="1">
      <w:start w:val="12"/>
      <w:numFmt w:val="decimal"/>
      <w:lvlText w:val="%1.%2"/>
      <w:lvlJc w:val="left"/>
      <w:pPr>
        <w:ind w:left="33" w:hanging="60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57162497"/>
    <w:multiLevelType w:val="hybridMultilevel"/>
    <w:tmpl w:val="AFF6EA0C"/>
    <w:lvl w:ilvl="0" w:tplc="216C731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5C4165F4"/>
    <w:multiLevelType w:val="hybridMultilevel"/>
    <w:tmpl w:val="155EFB64"/>
    <w:lvl w:ilvl="0" w:tplc="DB8AE6AC">
      <w:start w:val="1"/>
      <w:numFmt w:val="lowerRoman"/>
      <w:lvlText w:val="%1)"/>
      <w:lvlJc w:val="left"/>
      <w:pPr>
        <w:ind w:left="2159" w:hanging="720"/>
      </w:pPr>
      <w:rPr>
        <w:rFonts w:hint="default"/>
      </w:rPr>
    </w:lvl>
    <w:lvl w:ilvl="1" w:tplc="08090019" w:tentative="1">
      <w:start w:val="1"/>
      <w:numFmt w:val="lowerLetter"/>
      <w:lvlText w:val="%2."/>
      <w:lvlJc w:val="left"/>
      <w:pPr>
        <w:ind w:left="2519" w:hanging="360"/>
      </w:p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4" w15:restartNumberingAfterBreak="0">
    <w:nsid w:val="7F1F1CC0"/>
    <w:multiLevelType w:val="hybridMultilevel"/>
    <w:tmpl w:val="C018D9C0"/>
    <w:lvl w:ilvl="0" w:tplc="18C0C9B6">
      <w:start w:val="1"/>
      <w:numFmt w:val="decimal"/>
      <w:lvlText w:val="%1."/>
      <w:lvlJc w:val="left"/>
      <w:pPr>
        <w:ind w:left="720" w:hanging="360"/>
      </w:pPr>
      <w:rPr>
        <w:rFonts w:hint="default"/>
      </w:rPr>
    </w:lvl>
    <w:lvl w:ilvl="1" w:tplc="2C5ABE4A">
      <w:start w:val="1"/>
      <w:numFmt w:val="upp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3C2"/>
    <w:rsid w:val="002943C2"/>
    <w:rsid w:val="00294468"/>
    <w:rsid w:val="0044615C"/>
    <w:rsid w:val="00806524"/>
    <w:rsid w:val="00916B35"/>
    <w:rsid w:val="00963B10"/>
    <w:rsid w:val="00BC66DD"/>
    <w:rsid w:val="00D53047"/>
    <w:rsid w:val="00DE25E3"/>
    <w:rsid w:val="00ED09CC"/>
    <w:rsid w:val="00EF5428"/>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98A8"/>
  <w15:docId w15:val="{E90C9786-2525-4C6E-90F4-42DC40BB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3C2"/>
    <w:pPr>
      <w:spacing w:after="200" w:line="276" w:lineRule="auto"/>
    </w:pPr>
    <w:rPr>
      <w:rFonts w:eastAsiaTheme="minorEastAsia" w:cstheme="minorBidi"/>
      <w:lang w:eastAsia="en-GB"/>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Header">
    <w:name w:val="header"/>
    <w:basedOn w:val="Normal"/>
    <w:link w:val="HeaderChar"/>
    <w:uiPriority w:val="99"/>
    <w:unhideWhenUsed/>
    <w:rsid w:val="00963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B10"/>
    <w:rPr>
      <w:rFonts w:eastAsiaTheme="minorEastAsia" w:cstheme="minorBidi"/>
      <w:lang w:eastAsia="en-GB"/>
    </w:rPr>
  </w:style>
  <w:style w:type="paragraph" w:styleId="Footer">
    <w:name w:val="footer"/>
    <w:basedOn w:val="Normal"/>
    <w:link w:val="FooterChar"/>
    <w:uiPriority w:val="99"/>
    <w:unhideWhenUsed/>
    <w:rsid w:val="00963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B10"/>
    <w:rPr>
      <w:rFonts w:eastAsiaTheme="minorEastAsia" w:cstheme="minorBidi"/>
      <w:lang w:eastAsia="en-GB"/>
    </w:rPr>
  </w:style>
  <w:style w:type="character" w:styleId="Hyperlink">
    <w:name w:val="Hyperlink"/>
    <w:basedOn w:val="DefaultParagraphFont"/>
    <w:uiPriority w:val="99"/>
    <w:unhideWhenUsed/>
    <w:rsid w:val="00294468"/>
    <w:rPr>
      <w:color w:val="0000FF" w:themeColor="hyperlink"/>
      <w:u w:val="single"/>
    </w:rPr>
  </w:style>
  <w:style w:type="character" w:styleId="UnresolvedMention">
    <w:name w:val="Unresolved Mention"/>
    <w:basedOn w:val="DefaultParagraphFont"/>
    <w:uiPriority w:val="99"/>
    <w:semiHidden/>
    <w:unhideWhenUsed/>
    <w:rsid w:val="00DE2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lster.ac.uk/__data/assets/word_doc/0003/303528/DDPModuleDescTemplate_May_20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Hamill</dc:creator>
  <cp:lastModifiedBy>Verner, Lisa</cp:lastModifiedBy>
  <cp:revision>7</cp:revision>
  <dcterms:created xsi:type="dcterms:W3CDTF">2013-04-29T13:45:00Z</dcterms:created>
  <dcterms:modified xsi:type="dcterms:W3CDTF">2020-02-05T17:09:00Z</dcterms:modified>
</cp:coreProperties>
</file>