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70" w:rsidRDefault="00A93170" w:rsidP="00A93170">
      <w:pPr>
        <w:ind w:left="567" w:right="-24" w:hanging="1134"/>
        <w:jc w:val="both"/>
      </w:pPr>
      <w:r>
        <w:t>18.70</w:t>
      </w:r>
      <w:r>
        <w:tab/>
        <w:t xml:space="preserve">COLLABORATIVE STRATEGY </w:t>
      </w:r>
    </w:p>
    <w:p w:rsidR="00A93170" w:rsidRDefault="00A93170" w:rsidP="00A93170">
      <w:pPr>
        <w:ind w:left="567" w:right="-24" w:hanging="567"/>
        <w:jc w:val="both"/>
      </w:pPr>
    </w:p>
    <w:p w:rsidR="00A93170" w:rsidRDefault="00A93170" w:rsidP="00A93170">
      <w:pPr>
        <w:ind w:left="567" w:right="-24" w:hanging="567"/>
        <w:jc w:val="both"/>
      </w:pPr>
      <w:r>
        <w:tab/>
        <w:t>Professor Hanna presented the report of the Collaborative Strategy Working Group (Paper No ASQEC/18/20).</w:t>
      </w:r>
    </w:p>
    <w:p w:rsidR="00A93170" w:rsidRDefault="00A93170" w:rsidP="00A93170">
      <w:pPr>
        <w:ind w:left="567" w:right="-24" w:hanging="567"/>
        <w:jc w:val="both"/>
      </w:pPr>
    </w:p>
    <w:p w:rsidR="00A93170" w:rsidRPr="00AB2E53" w:rsidRDefault="00A93170" w:rsidP="00A93170">
      <w:pPr>
        <w:pStyle w:val="ListParagraph"/>
        <w:ind w:left="567" w:hanging="720"/>
        <w:jc w:val="both"/>
      </w:pPr>
      <w:r>
        <w:tab/>
      </w:r>
      <w:r>
        <w:rPr>
          <w:u w:val="single"/>
        </w:rPr>
        <w:t>Collaborative Strategy</w:t>
      </w:r>
      <w:r>
        <w:t xml:space="preserve"> (Item 2)</w:t>
      </w:r>
    </w:p>
    <w:p w:rsidR="00A93170" w:rsidRDefault="00A93170" w:rsidP="00A93170">
      <w:pPr>
        <w:pStyle w:val="ListParagraph"/>
        <w:ind w:left="567"/>
        <w:jc w:val="both"/>
        <w:rPr>
          <w:u w:val="single"/>
        </w:rPr>
      </w:pPr>
    </w:p>
    <w:p w:rsidR="00A93170" w:rsidRDefault="00A93170" w:rsidP="00A93170">
      <w:pPr>
        <w:pStyle w:val="ListParagraph"/>
        <w:ind w:left="567"/>
        <w:jc w:val="both"/>
        <w:rPr>
          <w:rFonts w:cs="Arial"/>
          <w:szCs w:val="24"/>
        </w:rPr>
      </w:pPr>
      <w:r>
        <w:t>The proposed S</w:t>
      </w:r>
      <w:r>
        <w:rPr>
          <w:rFonts w:cs="Arial"/>
          <w:szCs w:val="24"/>
        </w:rPr>
        <w:t xml:space="preserve">trategy had developed </w:t>
      </w:r>
      <w:r>
        <w:t xml:space="preserve">11 Principles and </w:t>
      </w:r>
      <w:proofErr w:type="gramStart"/>
      <w:r>
        <w:t>seven</w:t>
      </w:r>
      <w:proofErr w:type="gramEnd"/>
      <w:r>
        <w:t xml:space="preserve"> key objectives, aligned to the University’s Strategic Plan and the </w:t>
      </w:r>
      <w:proofErr w:type="spellStart"/>
      <w:r>
        <w:t>KPIs</w:t>
      </w:r>
      <w:proofErr w:type="spellEnd"/>
      <w:r>
        <w:t xml:space="preserve"> in the balanced scorecard for the next five years. The Chair emphasised, that while the Principles applied </w:t>
      </w:r>
      <w:r>
        <w:rPr>
          <w:rFonts w:cs="Arial"/>
          <w:szCs w:val="24"/>
        </w:rPr>
        <w:t>to both local and International partnerships</w:t>
      </w:r>
      <w:r>
        <w:t xml:space="preserve">, the </w:t>
      </w:r>
      <w:r>
        <w:rPr>
          <w:rFonts w:cs="Arial"/>
          <w:szCs w:val="24"/>
        </w:rPr>
        <w:t xml:space="preserve">objectives relate to local partnerships only, as international partnerships </w:t>
      </w:r>
      <w:proofErr w:type="gramStart"/>
      <w:r>
        <w:rPr>
          <w:rFonts w:cs="Arial"/>
          <w:szCs w:val="24"/>
        </w:rPr>
        <w:t>would be addressed</w:t>
      </w:r>
      <w:proofErr w:type="gramEnd"/>
      <w:r>
        <w:rPr>
          <w:rFonts w:cs="Arial"/>
          <w:szCs w:val="24"/>
        </w:rPr>
        <w:t xml:space="preserve"> through the new Global Engagement Strategy.</w:t>
      </w:r>
    </w:p>
    <w:p w:rsidR="00A93170" w:rsidRDefault="00A93170" w:rsidP="00A93170">
      <w:pPr>
        <w:pStyle w:val="ListParagraph"/>
        <w:ind w:left="567"/>
        <w:jc w:val="both"/>
        <w:rPr>
          <w:rFonts w:cs="Arial"/>
          <w:szCs w:val="24"/>
        </w:rPr>
      </w:pPr>
    </w:p>
    <w:p w:rsidR="00A93170" w:rsidRDefault="00A93170" w:rsidP="00A93170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br w:type="page"/>
      </w:r>
    </w:p>
    <w:p w:rsidR="00A93170" w:rsidRDefault="00A93170" w:rsidP="00A93170"/>
    <w:p w:rsidR="00124CDE" w:rsidRDefault="00124CDE" w:rsidP="00124CDE">
      <w:pPr>
        <w:ind w:left="567" w:right="-24" w:hanging="1134"/>
        <w:jc w:val="both"/>
      </w:pPr>
      <w:r>
        <w:tab/>
        <w:t>EXTRACT FROM ACADEMIC STANDARDS AND QUALITY ENHANCEMENT COMMITTEE MINUTES: 6.6.18</w:t>
      </w:r>
    </w:p>
    <w:p w:rsidR="00124CDE" w:rsidRDefault="00124CDE" w:rsidP="00124CDE">
      <w:pPr>
        <w:ind w:left="567" w:right="-24" w:hanging="1134"/>
        <w:jc w:val="both"/>
      </w:pPr>
    </w:p>
    <w:p w:rsidR="00A93170" w:rsidRPr="00F1193C" w:rsidRDefault="00124CDE" w:rsidP="00124CDE">
      <w:pPr>
        <w:ind w:left="567" w:right="-24" w:hanging="1134"/>
        <w:jc w:val="both"/>
      </w:pPr>
      <w:r w:rsidRPr="00124CDE">
        <w:t>18.70</w:t>
      </w:r>
      <w:r>
        <w:rPr>
          <w:b/>
        </w:rPr>
        <w:tab/>
      </w:r>
      <w:r w:rsidR="00A93170" w:rsidRPr="00DF5931">
        <w:rPr>
          <w:u w:val="single"/>
        </w:rPr>
        <w:t>Approval of New International Partner</w:t>
      </w:r>
      <w:r w:rsidR="00A93170" w:rsidRPr="0026375D">
        <w:rPr>
          <w:u w:val="single"/>
        </w:rPr>
        <w:t>s</w:t>
      </w:r>
      <w:r w:rsidR="00A93170">
        <w:t xml:space="preserve"> (Item 3)</w:t>
      </w:r>
    </w:p>
    <w:p w:rsidR="00A93170" w:rsidRDefault="00A93170" w:rsidP="00A93170">
      <w:pPr>
        <w:ind w:left="567" w:right="-24" w:hanging="567"/>
        <w:jc w:val="both"/>
      </w:pPr>
    </w:p>
    <w:p w:rsidR="00A93170" w:rsidRDefault="00A93170" w:rsidP="00A93170">
      <w:pPr>
        <w:ind w:left="567" w:right="-24" w:hanging="567"/>
        <w:jc w:val="both"/>
      </w:pPr>
      <w:r>
        <w:tab/>
        <w:t xml:space="preserve">The Committee noted that the Working Group </w:t>
      </w:r>
      <w:r w:rsidR="00124CDE">
        <w:t xml:space="preserve">[Collaborative Strategy] </w:t>
      </w:r>
      <w:bookmarkStart w:id="0" w:name="_GoBack"/>
      <w:bookmarkEnd w:id="0"/>
      <w:r>
        <w:t xml:space="preserve">had developed a new process for the initial due-diligence strategic assessment </w:t>
      </w:r>
      <w:r>
        <w:rPr>
          <w:rFonts w:cs="Arial"/>
          <w:szCs w:val="24"/>
        </w:rPr>
        <w:t>of</w:t>
      </w:r>
      <w:r w:rsidRPr="00205EA6">
        <w:rPr>
          <w:rFonts w:cs="Arial"/>
          <w:szCs w:val="24"/>
        </w:rPr>
        <w:t xml:space="preserve"> proposed international partners</w:t>
      </w:r>
      <w:r>
        <w:rPr>
          <w:rFonts w:cs="Arial"/>
          <w:szCs w:val="24"/>
        </w:rPr>
        <w:t xml:space="preserve">.  </w:t>
      </w:r>
      <w:proofErr w:type="gramStart"/>
      <w:r>
        <w:t>Consideration of academic standards and quality would be carried out separately by Quality Enhancement</w:t>
      </w:r>
      <w:proofErr w:type="gramEnd"/>
      <w:r>
        <w:t xml:space="preserve"> with a report to ASQEC while legal, financial and reputational consideration would be co-ordinated by the </w:t>
      </w:r>
      <w:r w:rsidRPr="00205EA6">
        <w:rPr>
          <w:rFonts w:cs="Arial"/>
          <w:szCs w:val="24"/>
        </w:rPr>
        <w:t>Global Engagement Department in collaboration with Finance</w:t>
      </w:r>
      <w:r>
        <w:rPr>
          <w:rFonts w:cs="Arial"/>
          <w:szCs w:val="24"/>
        </w:rPr>
        <w:t xml:space="preserve"> and </w:t>
      </w:r>
      <w:r w:rsidRPr="00205EA6">
        <w:rPr>
          <w:rFonts w:cs="Arial"/>
          <w:szCs w:val="24"/>
        </w:rPr>
        <w:t>the Office of the University Secretary</w:t>
      </w:r>
      <w:r>
        <w:rPr>
          <w:rFonts w:cs="Arial"/>
          <w:szCs w:val="24"/>
        </w:rPr>
        <w:t xml:space="preserve"> for consideration by </w:t>
      </w:r>
      <w:proofErr w:type="spellStart"/>
      <w:r>
        <w:rPr>
          <w:rFonts w:cs="Arial"/>
          <w:szCs w:val="24"/>
        </w:rPr>
        <w:t>SLT</w:t>
      </w:r>
      <w:proofErr w:type="spellEnd"/>
      <w:r>
        <w:t>. These would run in parallel, with both having to be satisfied.</w:t>
      </w:r>
    </w:p>
    <w:p w:rsidR="00A93170" w:rsidRDefault="00A93170" w:rsidP="00A93170">
      <w:pPr>
        <w:ind w:left="567" w:right="-24" w:hanging="567"/>
        <w:jc w:val="both"/>
      </w:pPr>
    </w:p>
    <w:p w:rsidR="00A93170" w:rsidRDefault="00A93170" w:rsidP="00A93170">
      <w:pPr>
        <w:ind w:left="567" w:right="-24" w:hanging="567"/>
        <w:jc w:val="both"/>
      </w:pPr>
      <w:r>
        <w:tab/>
        <w:t xml:space="preserve">The Chair welcomed the subsequent two-stage Institutional Recognition process (which </w:t>
      </w:r>
      <w:proofErr w:type="gramStart"/>
      <w:r>
        <w:t>would be applied</w:t>
      </w:r>
      <w:proofErr w:type="gramEnd"/>
      <w:r>
        <w:t xml:space="preserve"> for Myanmar Institute of Business) whereby the Faculty’s support mechanisms would be assessed before Recognition and Evaluation Panel visits (see min 18.72).</w:t>
      </w:r>
    </w:p>
    <w:p w:rsidR="00A93170" w:rsidRDefault="00A93170" w:rsidP="00A93170">
      <w:pPr>
        <w:ind w:left="567" w:right="-24" w:hanging="567"/>
        <w:jc w:val="both"/>
      </w:pPr>
    </w:p>
    <w:p w:rsidR="00A93170" w:rsidRDefault="00A93170" w:rsidP="00A93170">
      <w:pPr>
        <w:ind w:left="1985" w:right="-24" w:hanging="141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AGREED: </w:t>
      </w:r>
      <w:r>
        <w:rPr>
          <w:rFonts w:cs="Arial"/>
          <w:szCs w:val="24"/>
        </w:rPr>
        <w:tab/>
      </w:r>
      <w:r w:rsidRPr="00205EA6">
        <w:rPr>
          <w:rFonts w:cs="Arial"/>
          <w:szCs w:val="24"/>
        </w:rPr>
        <w:t xml:space="preserve">that the </w:t>
      </w:r>
      <w:r>
        <w:rPr>
          <w:rFonts w:cs="Arial"/>
          <w:szCs w:val="24"/>
        </w:rPr>
        <w:t xml:space="preserve">proposed </w:t>
      </w:r>
      <w:r w:rsidRPr="00205EA6">
        <w:rPr>
          <w:rFonts w:cs="Arial"/>
          <w:szCs w:val="24"/>
        </w:rPr>
        <w:t xml:space="preserve">process for approving new international partners </w:t>
      </w:r>
      <w:proofErr w:type="gramStart"/>
      <w:r w:rsidRPr="00205EA6">
        <w:rPr>
          <w:rFonts w:cs="Arial"/>
          <w:szCs w:val="24"/>
        </w:rPr>
        <w:t>be adopted</w:t>
      </w:r>
      <w:proofErr w:type="gramEnd"/>
      <w:r>
        <w:rPr>
          <w:rFonts w:cs="Arial"/>
          <w:szCs w:val="24"/>
        </w:rPr>
        <w:t>.</w:t>
      </w:r>
    </w:p>
    <w:p w:rsidR="00A93170" w:rsidRDefault="00A93170" w:rsidP="00A93170">
      <w:pPr>
        <w:ind w:left="567" w:right="-24" w:hanging="567"/>
        <w:jc w:val="both"/>
        <w:rPr>
          <w:b/>
        </w:rPr>
      </w:pPr>
    </w:p>
    <w:p w:rsidR="00F66589" w:rsidRDefault="00F66589"/>
    <w:sectPr w:rsidR="00F6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70"/>
    <w:rsid w:val="00124CDE"/>
    <w:rsid w:val="00A93170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4B3D"/>
  <w15:chartTrackingRefBased/>
  <w15:docId w15:val="{BDAF6D9A-12D4-4A46-B067-1249B93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1</cp:revision>
  <dcterms:created xsi:type="dcterms:W3CDTF">2018-08-17T14:12:00Z</dcterms:created>
  <dcterms:modified xsi:type="dcterms:W3CDTF">2018-08-17T14:25:00Z</dcterms:modified>
</cp:coreProperties>
</file>