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C2D4F" w14:textId="77777777" w:rsidR="00DB1B0E" w:rsidRDefault="00DB1B0E" w:rsidP="00DB1B0E">
      <w:pPr>
        <w:tabs>
          <w:tab w:val="center" w:pos="7337"/>
        </w:tabs>
        <w:autoSpaceDE w:val="0"/>
        <w:autoSpaceDN w:val="0"/>
        <w:adjustRightInd w:val="0"/>
        <w:ind w:left="-567"/>
        <w:rPr>
          <w:rFonts w:eastAsia="Times New Roman" w:cs="Arial"/>
          <w:b/>
          <w:bCs/>
          <w:color w:val="000000"/>
          <w:sz w:val="22"/>
          <w:szCs w:val="22"/>
          <w:lang w:eastAsia="en-GB"/>
        </w:rPr>
      </w:pPr>
      <w:r w:rsidRPr="00DB1B0E">
        <w:rPr>
          <w:rFonts w:eastAsia="Times New Roman" w:cs="Arial"/>
          <w:b/>
          <w:bCs/>
          <w:color w:val="000000"/>
          <w:sz w:val="22"/>
          <w:szCs w:val="22"/>
          <w:lang w:eastAsia="en-GB"/>
        </w:rPr>
        <w:t>Operational Aspects of Collaborative Models</w:t>
      </w:r>
    </w:p>
    <w:p w14:paraId="0443178E" w14:textId="77777777" w:rsidR="00DB1B0E" w:rsidRPr="00DB1B0E" w:rsidRDefault="00DB1B0E" w:rsidP="00DB1B0E">
      <w:pPr>
        <w:tabs>
          <w:tab w:val="center" w:pos="7337"/>
        </w:tabs>
        <w:autoSpaceDE w:val="0"/>
        <w:autoSpaceDN w:val="0"/>
        <w:adjustRightInd w:val="0"/>
        <w:ind w:left="-567"/>
        <w:rPr>
          <w:rFonts w:eastAsia="Times New Roman" w:cs="Arial"/>
          <w:b/>
          <w:bCs/>
          <w:color w:val="000000"/>
          <w:sz w:val="22"/>
          <w:szCs w:val="22"/>
          <w:lang w:eastAsia="en-GB"/>
        </w:rPr>
      </w:pPr>
    </w:p>
    <w:tbl>
      <w:tblPr>
        <w:tblpPr w:leftFromText="180" w:rightFromText="180" w:vertAnchor="text" w:horzAnchor="margin" w:tblpXSpec="center" w:tblpY="109"/>
        <w:tblW w:w="15214"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701"/>
        <w:gridCol w:w="2977"/>
        <w:gridCol w:w="1985"/>
        <w:gridCol w:w="2126"/>
        <w:gridCol w:w="2126"/>
        <w:gridCol w:w="1985"/>
        <w:gridCol w:w="2314"/>
      </w:tblGrid>
      <w:tr w:rsidR="00DB1B0E" w:rsidRPr="00DB1B0E" w14:paraId="153578B8" w14:textId="66CF4184" w:rsidTr="00E54C85">
        <w:tc>
          <w:tcPr>
            <w:tcW w:w="1701" w:type="dxa"/>
            <w:tcBorders>
              <w:top w:val="single" w:sz="8" w:space="0" w:color="000000"/>
              <w:bottom w:val="single" w:sz="8" w:space="0" w:color="000000"/>
              <w:right w:val="single" w:sz="8" w:space="0" w:color="000000"/>
            </w:tcBorders>
          </w:tcPr>
          <w:p w14:paraId="1CEB4CC6" w14:textId="77777777" w:rsidR="00DB1B0E" w:rsidRPr="00DB1B0E" w:rsidRDefault="00DB1B0E" w:rsidP="00DB1B0E">
            <w:pPr>
              <w:autoSpaceDE w:val="0"/>
              <w:autoSpaceDN w:val="0"/>
              <w:adjustRightInd w:val="0"/>
              <w:rPr>
                <w:rFonts w:eastAsia="Times New Roman" w:cs="Arial"/>
                <w:color w:val="000000"/>
                <w:sz w:val="17"/>
                <w:szCs w:val="17"/>
                <w:lang w:eastAsia="en-GB"/>
              </w:rPr>
            </w:pPr>
          </w:p>
        </w:tc>
        <w:tc>
          <w:tcPr>
            <w:tcW w:w="2977" w:type="dxa"/>
            <w:tcBorders>
              <w:top w:val="single" w:sz="8" w:space="0" w:color="000000"/>
              <w:left w:val="single" w:sz="8" w:space="0" w:color="000000"/>
              <w:bottom w:val="single" w:sz="8" w:space="0" w:color="000000"/>
              <w:right w:val="single" w:sz="8" w:space="0" w:color="000000"/>
            </w:tcBorders>
          </w:tcPr>
          <w:p w14:paraId="09ED0586"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b/>
                <w:bCs/>
                <w:color w:val="000000"/>
                <w:sz w:val="17"/>
                <w:szCs w:val="17"/>
                <w:lang w:eastAsia="en-GB"/>
              </w:rPr>
              <w:t xml:space="preserve">Articulation </w:t>
            </w:r>
          </w:p>
        </w:tc>
        <w:tc>
          <w:tcPr>
            <w:tcW w:w="1985" w:type="dxa"/>
            <w:tcBorders>
              <w:top w:val="single" w:sz="8" w:space="0" w:color="000000"/>
              <w:left w:val="single" w:sz="8" w:space="0" w:color="000000"/>
              <w:bottom w:val="single" w:sz="8" w:space="0" w:color="000000"/>
              <w:right w:val="single" w:sz="8" w:space="0" w:color="000000"/>
            </w:tcBorders>
          </w:tcPr>
          <w:p w14:paraId="64F9A4FE"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b/>
                <w:bCs/>
                <w:color w:val="000000"/>
                <w:sz w:val="17"/>
                <w:szCs w:val="17"/>
                <w:lang w:eastAsia="en-GB"/>
              </w:rPr>
              <w:t>Validated</w:t>
            </w:r>
          </w:p>
        </w:tc>
        <w:tc>
          <w:tcPr>
            <w:tcW w:w="2126" w:type="dxa"/>
            <w:tcBorders>
              <w:top w:val="single" w:sz="8" w:space="0" w:color="000000"/>
              <w:left w:val="single" w:sz="8" w:space="0" w:color="000000"/>
              <w:bottom w:val="single" w:sz="8" w:space="0" w:color="000000"/>
              <w:right w:val="single" w:sz="8" w:space="0" w:color="000000"/>
            </w:tcBorders>
          </w:tcPr>
          <w:p w14:paraId="583B90C5"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b/>
                <w:bCs/>
                <w:color w:val="000000"/>
                <w:sz w:val="17"/>
                <w:szCs w:val="17"/>
                <w:lang w:eastAsia="en-GB"/>
              </w:rPr>
              <w:t>Subject Networks</w:t>
            </w:r>
          </w:p>
        </w:tc>
        <w:tc>
          <w:tcPr>
            <w:tcW w:w="2126" w:type="dxa"/>
            <w:tcBorders>
              <w:top w:val="single" w:sz="8" w:space="0" w:color="000000"/>
              <w:left w:val="single" w:sz="8" w:space="0" w:color="000000"/>
              <w:bottom w:val="single" w:sz="8" w:space="0" w:color="000000"/>
              <w:right w:val="single" w:sz="8" w:space="0" w:color="000000"/>
            </w:tcBorders>
          </w:tcPr>
          <w:p w14:paraId="002DB002" w14:textId="77777777" w:rsidR="00DB1B0E" w:rsidRPr="00DB1B0E" w:rsidRDefault="00DB1B0E" w:rsidP="00DB1B0E">
            <w:pPr>
              <w:autoSpaceDE w:val="0"/>
              <w:autoSpaceDN w:val="0"/>
              <w:adjustRightInd w:val="0"/>
              <w:rPr>
                <w:rFonts w:eastAsia="Times New Roman" w:cs="Arial"/>
                <w:b/>
                <w:bCs/>
                <w:color w:val="000000"/>
                <w:sz w:val="17"/>
                <w:szCs w:val="17"/>
                <w:lang w:eastAsia="en-GB"/>
              </w:rPr>
            </w:pPr>
            <w:r w:rsidRPr="00DB1B0E">
              <w:rPr>
                <w:rFonts w:eastAsia="Times New Roman" w:cs="Arial"/>
                <w:b/>
                <w:bCs/>
                <w:color w:val="000000"/>
                <w:sz w:val="17"/>
                <w:szCs w:val="17"/>
                <w:lang w:eastAsia="en-GB"/>
              </w:rPr>
              <w:t>Franchised</w:t>
            </w:r>
          </w:p>
        </w:tc>
        <w:tc>
          <w:tcPr>
            <w:tcW w:w="1985" w:type="dxa"/>
            <w:tcBorders>
              <w:top w:val="single" w:sz="8" w:space="0" w:color="000000"/>
              <w:left w:val="single" w:sz="8" w:space="0" w:color="000000"/>
              <w:bottom w:val="single" w:sz="8" w:space="0" w:color="000000"/>
              <w:right w:val="single" w:sz="8" w:space="0" w:color="000000"/>
            </w:tcBorders>
          </w:tcPr>
          <w:p w14:paraId="73C5F96A" w14:textId="77777777" w:rsidR="00DB1B0E" w:rsidRPr="00DB1B0E" w:rsidRDefault="00DB1B0E" w:rsidP="00DB1B0E">
            <w:pPr>
              <w:autoSpaceDE w:val="0"/>
              <w:autoSpaceDN w:val="0"/>
              <w:adjustRightInd w:val="0"/>
              <w:rPr>
                <w:rFonts w:eastAsia="Times New Roman" w:cs="Arial"/>
                <w:color w:val="000000"/>
                <w:sz w:val="17"/>
                <w:szCs w:val="17"/>
                <w:lang w:eastAsia="en-GB"/>
              </w:rPr>
            </w:pPr>
            <w:proofErr w:type="spellStart"/>
            <w:r w:rsidRPr="00DB1B0E">
              <w:rPr>
                <w:rFonts w:eastAsia="Times New Roman" w:cs="Arial"/>
                <w:b/>
                <w:bCs/>
                <w:color w:val="000000"/>
                <w:sz w:val="17"/>
                <w:szCs w:val="17"/>
                <w:lang w:eastAsia="en-GB"/>
              </w:rPr>
              <w:t>Outcentre</w:t>
            </w:r>
            <w:proofErr w:type="spellEnd"/>
            <w:r w:rsidRPr="00DB1B0E">
              <w:rPr>
                <w:rFonts w:eastAsia="Times New Roman" w:cs="Arial"/>
                <w:b/>
                <w:bCs/>
                <w:color w:val="000000"/>
                <w:sz w:val="17"/>
                <w:szCs w:val="17"/>
                <w:lang w:eastAsia="en-GB"/>
              </w:rPr>
              <w:t xml:space="preserve"> </w:t>
            </w:r>
          </w:p>
        </w:tc>
        <w:tc>
          <w:tcPr>
            <w:tcW w:w="2314" w:type="dxa"/>
            <w:tcBorders>
              <w:top w:val="single" w:sz="8" w:space="0" w:color="000000"/>
              <w:left w:val="single" w:sz="8" w:space="0" w:color="000000"/>
              <w:bottom w:val="single" w:sz="8" w:space="0" w:color="000000"/>
            </w:tcBorders>
          </w:tcPr>
          <w:p w14:paraId="0CFE5CA9"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b/>
                <w:bCs/>
                <w:color w:val="000000"/>
                <w:sz w:val="17"/>
                <w:szCs w:val="17"/>
                <w:lang w:eastAsia="en-GB"/>
              </w:rPr>
              <w:t xml:space="preserve">Joint Programmes </w:t>
            </w:r>
          </w:p>
        </w:tc>
      </w:tr>
      <w:tr w:rsidR="00DB1B0E" w:rsidRPr="00DB1B0E" w14:paraId="3A6945E8" w14:textId="5CD050EE" w:rsidTr="00E54C85">
        <w:tc>
          <w:tcPr>
            <w:tcW w:w="1701" w:type="dxa"/>
            <w:tcBorders>
              <w:top w:val="single" w:sz="8" w:space="0" w:color="000000"/>
              <w:bottom w:val="single" w:sz="8" w:space="0" w:color="000000"/>
              <w:right w:val="single" w:sz="8" w:space="0" w:color="000000"/>
            </w:tcBorders>
          </w:tcPr>
          <w:p w14:paraId="3F64DC99"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Agreements </w:t>
            </w:r>
          </w:p>
        </w:tc>
        <w:tc>
          <w:tcPr>
            <w:tcW w:w="2977" w:type="dxa"/>
            <w:tcBorders>
              <w:top w:val="single" w:sz="8" w:space="0" w:color="000000"/>
              <w:left w:val="single" w:sz="8" w:space="0" w:color="000000"/>
              <w:bottom w:val="single" w:sz="8" w:space="0" w:color="000000"/>
              <w:right w:val="single" w:sz="8" w:space="0" w:color="000000"/>
            </w:tcBorders>
          </w:tcPr>
          <w:p w14:paraId="1B6FA470"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Programme </w:t>
            </w:r>
          </w:p>
        </w:tc>
        <w:tc>
          <w:tcPr>
            <w:tcW w:w="1985" w:type="dxa"/>
            <w:tcBorders>
              <w:top w:val="single" w:sz="8" w:space="0" w:color="000000"/>
              <w:left w:val="single" w:sz="8" w:space="0" w:color="000000"/>
              <w:bottom w:val="single" w:sz="8" w:space="0" w:color="000000"/>
              <w:right w:val="single" w:sz="8" w:space="0" w:color="000000"/>
            </w:tcBorders>
          </w:tcPr>
          <w:p w14:paraId="250421C6"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Institutional and Programme </w:t>
            </w:r>
          </w:p>
        </w:tc>
        <w:tc>
          <w:tcPr>
            <w:tcW w:w="2126" w:type="dxa"/>
            <w:tcBorders>
              <w:top w:val="single" w:sz="8" w:space="0" w:color="000000"/>
              <w:left w:val="single" w:sz="8" w:space="0" w:color="000000"/>
              <w:bottom w:val="single" w:sz="8" w:space="0" w:color="000000"/>
              <w:right w:val="single" w:sz="8" w:space="0" w:color="000000"/>
            </w:tcBorders>
          </w:tcPr>
          <w:p w14:paraId="2A906E8A"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Institutional, Programme and Network </w:t>
            </w:r>
          </w:p>
        </w:tc>
        <w:tc>
          <w:tcPr>
            <w:tcW w:w="2126" w:type="dxa"/>
            <w:tcBorders>
              <w:top w:val="single" w:sz="8" w:space="0" w:color="000000"/>
              <w:left w:val="single" w:sz="8" w:space="0" w:color="000000"/>
              <w:bottom w:val="single" w:sz="8" w:space="0" w:color="000000"/>
              <w:right w:val="single" w:sz="8" w:space="0" w:color="000000"/>
            </w:tcBorders>
          </w:tcPr>
          <w:p w14:paraId="01ED7429"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Institutional and programme</w:t>
            </w:r>
          </w:p>
        </w:tc>
        <w:tc>
          <w:tcPr>
            <w:tcW w:w="1985" w:type="dxa"/>
            <w:tcBorders>
              <w:top w:val="single" w:sz="8" w:space="0" w:color="000000"/>
              <w:left w:val="single" w:sz="8" w:space="0" w:color="000000"/>
              <w:bottom w:val="single" w:sz="8" w:space="0" w:color="000000"/>
              <w:right w:val="single" w:sz="8" w:space="0" w:color="000000"/>
            </w:tcBorders>
          </w:tcPr>
          <w:p w14:paraId="0D8DFC13"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Programme </w:t>
            </w:r>
          </w:p>
        </w:tc>
        <w:tc>
          <w:tcPr>
            <w:tcW w:w="2314" w:type="dxa"/>
            <w:tcBorders>
              <w:top w:val="single" w:sz="8" w:space="0" w:color="000000"/>
              <w:left w:val="single" w:sz="8" w:space="0" w:color="000000"/>
              <w:bottom w:val="single" w:sz="8" w:space="0" w:color="000000"/>
            </w:tcBorders>
          </w:tcPr>
          <w:p w14:paraId="1B0C1AB5" w14:textId="77777777" w:rsidR="00DB1B0E" w:rsidRPr="00DB1B0E" w:rsidRDefault="00DB1B0E" w:rsidP="00DB1B0E">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Institutional and Programme </w:t>
            </w:r>
          </w:p>
        </w:tc>
      </w:tr>
      <w:tr w:rsidR="00FC71CA" w:rsidRPr="00DB1B0E" w14:paraId="1F3CB087" w14:textId="4C3EE709" w:rsidTr="00E54C85">
        <w:tc>
          <w:tcPr>
            <w:tcW w:w="1701" w:type="dxa"/>
            <w:tcBorders>
              <w:top w:val="single" w:sz="8" w:space="0" w:color="000000"/>
              <w:bottom w:val="single" w:sz="8" w:space="0" w:color="000000"/>
              <w:right w:val="single" w:sz="8" w:space="0" w:color="000000"/>
            </w:tcBorders>
          </w:tcPr>
          <w:p w14:paraId="73AB98F0"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Status of Student within Ulster </w:t>
            </w:r>
          </w:p>
        </w:tc>
        <w:tc>
          <w:tcPr>
            <w:tcW w:w="2977" w:type="dxa"/>
            <w:tcBorders>
              <w:top w:val="single" w:sz="8" w:space="0" w:color="000000"/>
              <w:left w:val="single" w:sz="8" w:space="0" w:color="000000"/>
              <w:bottom w:val="single" w:sz="8" w:space="0" w:color="000000"/>
              <w:right w:val="single" w:sz="8" w:space="0" w:color="000000"/>
            </w:tcBorders>
          </w:tcPr>
          <w:p w14:paraId="19173037"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Full, but only when registered on the Ulster provision </w:t>
            </w:r>
          </w:p>
        </w:tc>
        <w:tc>
          <w:tcPr>
            <w:tcW w:w="1985" w:type="dxa"/>
            <w:tcBorders>
              <w:top w:val="single" w:sz="8" w:space="0" w:color="000000"/>
              <w:left w:val="single" w:sz="8" w:space="0" w:color="000000"/>
              <w:bottom w:val="single" w:sz="8" w:space="0" w:color="000000"/>
              <w:right w:val="single" w:sz="8" w:space="0" w:color="000000"/>
            </w:tcBorders>
          </w:tcPr>
          <w:p w14:paraId="29A17FBB"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Associate</w:t>
            </w:r>
          </w:p>
        </w:tc>
        <w:tc>
          <w:tcPr>
            <w:tcW w:w="2126" w:type="dxa"/>
            <w:tcBorders>
              <w:top w:val="single" w:sz="8" w:space="0" w:color="000000"/>
              <w:left w:val="single" w:sz="8" w:space="0" w:color="000000"/>
              <w:bottom w:val="single" w:sz="8" w:space="0" w:color="000000"/>
              <w:right w:val="single" w:sz="8" w:space="0" w:color="000000"/>
            </w:tcBorders>
          </w:tcPr>
          <w:p w14:paraId="33ADE2EE"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Associate</w:t>
            </w:r>
          </w:p>
        </w:tc>
        <w:tc>
          <w:tcPr>
            <w:tcW w:w="2126" w:type="dxa"/>
            <w:tcBorders>
              <w:top w:val="single" w:sz="8" w:space="0" w:color="000000"/>
              <w:left w:val="single" w:sz="8" w:space="0" w:color="000000"/>
              <w:bottom w:val="single" w:sz="8" w:space="0" w:color="000000"/>
              <w:right w:val="single" w:sz="8" w:space="0" w:color="000000"/>
            </w:tcBorders>
          </w:tcPr>
          <w:p w14:paraId="4D6CFAF0" w14:textId="77777777" w:rsidR="00FC71CA" w:rsidRDefault="00FC71CA" w:rsidP="00FC71CA">
            <w:pPr>
              <w:autoSpaceDE w:val="0"/>
              <w:autoSpaceDN w:val="0"/>
              <w:adjustRightInd w:val="0"/>
              <w:rPr>
                <w:rFonts w:cs="Arial"/>
                <w:color w:val="000000"/>
                <w:sz w:val="17"/>
                <w:szCs w:val="17"/>
                <w:lang w:eastAsia="en-GB"/>
              </w:rPr>
            </w:pPr>
            <w:r>
              <w:rPr>
                <w:rFonts w:cs="Arial"/>
                <w:color w:val="000000"/>
                <w:sz w:val="17"/>
                <w:szCs w:val="17"/>
                <w:lang w:eastAsia="en-GB"/>
              </w:rPr>
              <w:t>Affiliate (UK) or</w:t>
            </w:r>
          </w:p>
          <w:p w14:paraId="30E78E91" w14:textId="7F59BC11" w:rsidR="00FC71CA" w:rsidRPr="00DB1B0E" w:rsidRDefault="00FC71CA" w:rsidP="00FC71CA">
            <w:pPr>
              <w:autoSpaceDE w:val="0"/>
              <w:autoSpaceDN w:val="0"/>
              <w:adjustRightInd w:val="0"/>
              <w:rPr>
                <w:rFonts w:eastAsia="Times New Roman" w:cs="Arial"/>
                <w:color w:val="000000"/>
                <w:sz w:val="17"/>
                <w:szCs w:val="17"/>
                <w:lang w:eastAsia="en-GB"/>
              </w:rPr>
            </w:pPr>
            <w:r>
              <w:rPr>
                <w:rFonts w:cs="Arial"/>
                <w:color w:val="000000"/>
                <w:sz w:val="17"/>
                <w:szCs w:val="17"/>
                <w:lang w:eastAsia="en-GB"/>
              </w:rPr>
              <w:t>Ulster University Overseas Student (sub-category of Affiliate)</w:t>
            </w:r>
          </w:p>
        </w:tc>
        <w:tc>
          <w:tcPr>
            <w:tcW w:w="1985" w:type="dxa"/>
            <w:tcBorders>
              <w:top w:val="single" w:sz="8" w:space="0" w:color="000000"/>
              <w:left w:val="single" w:sz="8" w:space="0" w:color="000000"/>
              <w:bottom w:val="single" w:sz="8" w:space="0" w:color="000000"/>
              <w:right w:val="single" w:sz="8" w:space="0" w:color="000000"/>
            </w:tcBorders>
          </w:tcPr>
          <w:p w14:paraId="3E551CCE" w14:textId="3DF547FE" w:rsidR="00FC71CA" w:rsidRPr="00DB1B0E" w:rsidRDefault="00E54C85" w:rsidP="00FC71CA">
            <w:pPr>
              <w:autoSpaceDE w:val="0"/>
              <w:autoSpaceDN w:val="0"/>
              <w:adjustRightInd w:val="0"/>
              <w:rPr>
                <w:rFonts w:eastAsia="Times New Roman" w:cs="Arial"/>
                <w:color w:val="000000"/>
                <w:sz w:val="17"/>
                <w:szCs w:val="17"/>
                <w:lang w:eastAsia="en-GB"/>
              </w:rPr>
            </w:pPr>
            <w:r w:rsidRPr="00DD5042">
              <w:rPr>
                <w:rFonts w:cs="Arial"/>
                <w:color w:val="000000"/>
                <w:sz w:val="17"/>
                <w:szCs w:val="17"/>
                <w:lang w:eastAsia="en-GB"/>
              </w:rPr>
              <w:t>Full registered</w:t>
            </w:r>
            <w:r>
              <w:rPr>
                <w:rFonts w:cs="Arial"/>
                <w:color w:val="000000"/>
                <w:sz w:val="17"/>
                <w:szCs w:val="17"/>
                <w:lang w:eastAsia="en-GB"/>
              </w:rPr>
              <w:t xml:space="preserve"> (UK/Ireland) or Ulster University Overseas Student (sub-category of Affiliate)</w:t>
            </w:r>
          </w:p>
        </w:tc>
        <w:tc>
          <w:tcPr>
            <w:tcW w:w="2314" w:type="dxa"/>
            <w:tcBorders>
              <w:top w:val="single" w:sz="8" w:space="0" w:color="000000"/>
              <w:left w:val="single" w:sz="8" w:space="0" w:color="000000"/>
              <w:bottom w:val="single" w:sz="8" w:space="0" w:color="000000"/>
            </w:tcBorders>
          </w:tcPr>
          <w:p w14:paraId="623ED34A"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Full registered (at both/all institutions) </w:t>
            </w:r>
          </w:p>
        </w:tc>
      </w:tr>
      <w:tr w:rsidR="00FC71CA" w:rsidRPr="00DB1B0E" w14:paraId="603C1E17" w14:textId="3C692C72" w:rsidTr="00E54C85">
        <w:tc>
          <w:tcPr>
            <w:tcW w:w="1701" w:type="dxa"/>
            <w:tcBorders>
              <w:top w:val="single" w:sz="8" w:space="0" w:color="000000"/>
              <w:bottom w:val="single" w:sz="8" w:space="0" w:color="000000"/>
              <w:right w:val="single" w:sz="8" w:space="0" w:color="000000"/>
            </w:tcBorders>
          </w:tcPr>
          <w:p w14:paraId="764CDB12"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Copyright of course document </w:t>
            </w:r>
          </w:p>
        </w:tc>
        <w:tc>
          <w:tcPr>
            <w:tcW w:w="2977" w:type="dxa"/>
            <w:tcBorders>
              <w:top w:val="single" w:sz="8" w:space="0" w:color="000000"/>
              <w:left w:val="single" w:sz="8" w:space="0" w:color="000000"/>
              <w:bottom w:val="single" w:sz="8" w:space="0" w:color="000000"/>
              <w:right w:val="single" w:sz="8" w:space="0" w:color="000000"/>
            </w:tcBorders>
          </w:tcPr>
          <w:p w14:paraId="7D7D2BEF"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Partner has the copyright for the feeder route; Ulster owns the copyright for the ‘top-up’ course. </w:t>
            </w:r>
          </w:p>
        </w:tc>
        <w:tc>
          <w:tcPr>
            <w:tcW w:w="1985" w:type="dxa"/>
            <w:tcBorders>
              <w:top w:val="single" w:sz="8" w:space="0" w:color="000000"/>
              <w:left w:val="single" w:sz="8" w:space="0" w:color="000000"/>
              <w:bottom w:val="single" w:sz="8" w:space="0" w:color="000000"/>
              <w:right w:val="single" w:sz="8" w:space="0" w:color="000000"/>
            </w:tcBorders>
          </w:tcPr>
          <w:p w14:paraId="460B6D54"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Partner, Ulster or both depending on contribution. This should be identified in the CA2. </w:t>
            </w:r>
          </w:p>
        </w:tc>
        <w:tc>
          <w:tcPr>
            <w:tcW w:w="2126" w:type="dxa"/>
            <w:tcBorders>
              <w:top w:val="single" w:sz="8" w:space="0" w:color="000000"/>
              <w:left w:val="single" w:sz="8" w:space="0" w:color="000000"/>
              <w:bottom w:val="single" w:sz="8" w:space="0" w:color="000000"/>
              <w:right w:val="single" w:sz="8" w:space="0" w:color="000000"/>
            </w:tcBorders>
          </w:tcPr>
          <w:p w14:paraId="3F6E12F2"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Partners, Ulster or both depending on contribution. This should be identified in the CA2. </w:t>
            </w:r>
          </w:p>
        </w:tc>
        <w:tc>
          <w:tcPr>
            <w:tcW w:w="2126" w:type="dxa"/>
            <w:tcBorders>
              <w:top w:val="single" w:sz="8" w:space="0" w:color="000000"/>
              <w:left w:val="single" w:sz="8" w:space="0" w:color="000000"/>
              <w:bottom w:val="single" w:sz="8" w:space="0" w:color="000000"/>
              <w:right w:val="single" w:sz="8" w:space="0" w:color="000000"/>
            </w:tcBorders>
          </w:tcPr>
          <w:p w14:paraId="7CD9A92C"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Ulster</w:t>
            </w:r>
          </w:p>
        </w:tc>
        <w:tc>
          <w:tcPr>
            <w:tcW w:w="1985" w:type="dxa"/>
            <w:tcBorders>
              <w:top w:val="single" w:sz="8" w:space="0" w:color="000000"/>
              <w:left w:val="single" w:sz="8" w:space="0" w:color="000000"/>
              <w:bottom w:val="single" w:sz="8" w:space="0" w:color="000000"/>
              <w:right w:val="single" w:sz="8" w:space="0" w:color="000000"/>
            </w:tcBorders>
          </w:tcPr>
          <w:p w14:paraId="453C0654"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w:t>
            </w:r>
          </w:p>
        </w:tc>
        <w:tc>
          <w:tcPr>
            <w:tcW w:w="2314" w:type="dxa"/>
            <w:tcBorders>
              <w:top w:val="single" w:sz="8" w:space="0" w:color="000000"/>
              <w:left w:val="single" w:sz="8" w:space="0" w:color="000000"/>
              <w:bottom w:val="single" w:sz="8" w:space="0" w:color="000000"/>
            </w:tcBorders>
          </w:tcPr>
          <w:p w14:paraId="2ACB9C68"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Both / All </w:t>
            </w:r>
          </w:p>
        </w:tc>
      </w:tr>
      <w:tr w:rsidR="00FC71CA" w:rsidRPr="00DB1B0E" w14:paraId="3B337090" w14:textId="20E46FC0" w:rsidTr="00E54C85">
        <w:tc>
          <w:tcPr>
            <w:tcW w:w="1701" w:type="dxa"/>
            <w:tcBorders>
              <w:top w:val="single" w:sz="8" w:space="0" w:color="000000"/>
              <w:bottom w:val="single" w:sz="8" w:space="0" w:color="000000"/>
              <w:right w:val="single" w:sz="8" w:space="0" w:color="000000"/>
            </w:tcBorders>
          </w:tcPr>
          <w:p w14:paraId="7D5B502A"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Cost of (Re-) Approval of Institution </w:t>
            </w:r>
          </w:p>
        </w:tc>
        <w:tc>
          <w:tcPr>
            <w:tcW w:w="2977" w:type="dxa"/>
            <w:tcBorders>
              <w:top w:val="single" w:sz="8" w:space="0" w:color="000000"/>
              <w:left w:val="single" w:sz="8" w:space="0" w:color="000000"/>
              <w:bottom w:val="single" w:sz="8" w:space="0" w:color="000000"/>
              <w:right w:val="single" w:sz="8" w:space="0" w:color="000000"/>
            </w:tcBorders>
          </w:tcPr>
          <w:p w14:paraId="331F461B"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Paid for by partner or recovered as per the agreed business case. </w:t>
            </w:r>
          </w:p>
        </w:tc>
        <w:tc>
          <w:tcPr>
            <w:tcW w:w="1985" w:type="dxa"/>
            <w:tcBorders>
              <w:top w:val="single" w:sz="8" w:space="0" w:color="000000"/>
              <w:left w:val="single" w:sz="8" w:space="0" w:color="000000"/>
              <w:bottom w:val="single" w:sz="8" w:space="0" w:color="000000"/>
              <w:right w:val="single" w:sz="8" w:space="0" w:color="000000"/>
            </w:tcBorders>
          </w:tcPr>
          <w:p w14:paraId="51D1548C"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Paid for by partner </w:t>
            </w:r>
          </w:p>
        </w:tc>
        <w:tc>
          <w:tcPr>
            <w:tcW w:w="2126" w:type="dxa"/>
            <w:tcBorders>
              <w:top w:val="single" w:sz="8" w:space="0" w:color="000000"/>
              <w:left w:val="single" w:sz="8" w:space="0" w:color="000000"/>
              <w:bottom w:val="single" w:sz="8" w:space="0" w:color="000000"/>
              <w:right w:val="single" w:sz="8" w:space="0" w:color="000000"/>
            </w:tcBorders>
          </w:tcPr>
          <w:p w14:paraId="66A5576C"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Paid for by partner </w:t>
            </w:r>
          </w:p>
        </w:tc>
        <w:tc>
          <w:tcPr>
            <w:tcW w:w="2126" w:type="dxa"/>
            <w:tcBorders>
              <w:top w:val="single" w:sz="8" w:space="0" w:color="000000"/>
              <w:left w:val="single" w:sz="8" w:space="0" w:color="000000"/>
              <w:bottom w:val="single" w:sz="8" w:space="0" w:color="000000"/>
              <w:right w:val="single" w:sz="8" w:space="0" w:color="000000"/>
            </w:tcBorders>
          </w:tcPr>
          <w:p w14:paraId="7017BEE5"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Paid for by partner</w:t>
            </w:r>
          </w:p>
        </w:tc>
        <w:tc>
          <w:tcPr>
            <w:tcW w:w="1985" w:type="dxa"/>
            <w:tcBorders>
              <w:top w:val="single" w:sz="8" w:space="0" w:color="000000"/>
              <w:left w:val="single" w:sz="8" w:space="0" w:color="000000"/>
              <w:bottom w:val="single" w:sz="8" w:space="0" w:color="000000"/>
              <w:right w:val="single" w:sz="8" w:space="0" w:color="000000"/>
            </w:tcBorders>
          </w:tcPr>
          <w:p w14:paraId="5A035046"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Not applicable </w:t>
            </w:r>
          </w:p>
        </w:tc>
        <w:tc>
          <w:tcPr>
            <w:tcW w:w="2314" w:type="dxa"/>
            <w:tcBorders>
              <w:top w:val="single" w:sz="8" w:space="0" w:color="000000"/>
              <w:left w:val="single" w:sz="8" w:space="0" w:color="000000"/>
              <w:bottom w:val="single" w:sz="8" w:space="0" w:color="000000"/>
            </w:tcBorders>
          </w:tcPr>
          <w:p w14:paraId="4C2B7BA6"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Not applicable </w:t>
            </w:r>
          </w:p>
        </w:tc>
      </w:tr>
      <w:tr w:rsidR="00FC71CA" w:rsidRPr="00DB1B0E" w14:paraId="5E737A23" w14:textId="3691D538" w:rsidTr="00E54C85">
        <w:tc>
          <w:tcPr>
            <w:tcW w:w="1701" w:type="dxa"/>
            <w:tcBorders>
              <w:top w:val="single" w:sz="8" w:space="0" w:color="000000"/>
              <w:bottom w:val="single" w:sz="8" w:space="0" w:color="000000"/>
              <w:right w:val="single" w:sz="8" w:space="0" w:color="000000"/>
            </w:tcBorders>
          </w:tcPr>
          <w:p w14:paraId="3F72154F"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Evaluation / Revalidation of course </w:t>
            </w:r>
          </w:p>
        </w:tc>
        <w:tc>
          <w:tcPr>
            <w:tcW w:w="2977" w:type="dxa"/>
            <w:tcBorders>
              <w:top w:val="single" w:sz="8" w:space="0" w:color="000000"/>
              <w:left w:val="single" w:sz="8" w:space="0" w:color="000000"/>
              <w:bottom w:val="single" w:sz="8" w:space="0" w:color="000000"/>
              <w:right w:val="single" w:sz="8" w:space="0" w:color="000000"/>
            </w:tcBorders>
          </w:tcPr>
          <w:p w14:paraId="16A85F1A"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In addition to the usual evaluation / revalidation of the Ulster ‘top-up’, the Faculty APL Board considers (and regularly revisits) the mapping of the partner course to the ‘home’ programme.</w:t>
            </w:r>
          </w:p>
          <w:p w14:paraId="54553565" w14:textId="77777777" w:rsidR="00FC71CA" w:rsidRPr="00DB1B0E" w:rsidRDefault="00FC71CA" w:rsidP="00FC71CA">
            <w:pPr>
              <w:autoSpaceDE w:val="0"/>
              <w:autoSpaceDN w:val="0"/>
              <w:adjustRightInd w:val="0"/>
              <w:rPr>
                <w:rFonts w:eastAsia="Times New Roman" w:cs="Arial"/>
                <w:color w:val="000000"/>
                <w:sz w:val="17"/>
                <w:szCs w:val="17"/>
                <w:lang w:eastAsia="en-GB"/>
              </w:rPr>
            </w:pPr>
          </w:p>
          <w:p w14:paraId="63EE526F"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Costs are recovered through student fee / block grant income. </w:t>
            </w:r>
          </w:p>
          <w:p w14:paraId="48DD57FF" w14:textId="77777777" w:rsidR="00FC71CA" w:rsidRPr="00DB1B0E" w:rsidRDefault="00FC71CA" w:rsidP="00FC71CA">
            <w:pPr>
              <w:autoSpaceDE w:val="0"/>
              <w:autoSpaceDN w:val="0"/>
              <w:adjustRightInd w:val="0"/>
              <w:rPr>
                <w:rFonts w:eastAsia="Times New Roman" w:cs="Arial"/>
                <w:color w:val="000000"/>
                <w:sz w:val="17"/>
                <w:szCs w:val="17"/>
                <w:lang w:eastAsia="en-GB"/>
              </w:rPr>
            </w:pPr>
          </w:p>
          <w:p w14:paraId="6E85AC26"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Partner responsible for the approval of their feeder programme.</w:t>
            </w:r>
          </w:p>
          <w:p w14:paraId="192A17D5" w14:textId="77777777" w:rsidR="00FC71CA" w:rsidRPr="00DB1B0E" w:rsidRDefault="00FC71CA" w:rsidP="00FC71CA">
            <w:pPr>
              <w:rPr>
                <w:rFonts w:eastAsia="Times New Roman" w:cs="Arial"/>
                <w:sz w:val="17"/>
                <w:szCs w:val="17"/>
              </w:rPr>
            </w:pPr>
          </w:p>
          <w:p w14:paraId="7EE0FAC0" w14:textId="77777777" w:rsidR="00FC71CA" w:rsidRPr="00DB1B0E" w:rsidRDefault="00FC71CA" w:rsidP="00FC71CA">
            <w:pPr>
              <w:jc w:val="center"/>
              <w:rPr>
                <w:rFonts w:eastAsia="Times New Roman" w:cs="Arial"/>
                <w:sz w:val="17"/>
                <w:szCs w:val="17"/>
              </w:rPr>
            </w:pPr>
          </w:p>
        </w:tc>
        <w:tc>
          <w:tcPr>
            <w:tcW w:w="1985" w:type="dxa"/>
            <w:tcBorders>
              <w:top w:val="single" w:sz="8" w:space="0" w:color="000000"/>
              <w:left w:val="single" w:sz="8" w:space="0" w:color="000000"/>
              <w:bottom w:val="single" w:sz="8" w:space="0" w:color="000000"/>
              <w:right w:val="single" w:sz="8" w:space="0" w:color="000000"/>
            </w:tcBorders>
          </w:tcPr>
          <w:p w14:paraId="180096AE"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Staff in the partner institution develop the course document in consultation with the University and seek University approval for the course. The level of University input is specified on the CA2. </w:t>
            </w:r>
          </w:p>
          <w:p w14:paraId="69A15FA9" w14:textId="77777777" w:rsidR="00FC71CA" w:rsidRPr="00DB1B0E" w:rsidRDefault="00FC71CA" w:rsidP="00FC71CA">
            <w:pPr>
              <w:autoSpaceDE w:val="0"/>
              <w:autoSpaceDN w:val="0"/>
              <w:adjustRightInd w:val="0"/>
              <w:rPr>
                <w:rFonts w:eastAsia="Times New Roman" w:cs="Arial"/>
                <w:color w:val="000000"/>
                <w:sz w:val="17"/>
                <w:szCs w:val="17"/>
                <w:lang w:eastAsia="en-GB"/>
              </w:rPr>
            </w:pPr>
          </w:p>
          <w:p w14:paraId="6EDFB70D"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Costs are recovered through charges to partner institution. </w:t>
            </w:r>
          </w:p>
        </w:tc>
        <w:tc>
          <w:tcPr>
            <w:tcW w:w="2126" w:type="dxa"/>
            <w:tcBorders>
              <w:top w:val="single" w:sz="8" w:space="0" w:color="000000"/>
              <w:left w:val="single" w:sz="8" w:space="0" w:color="000000"/>
              <w:bottom w:val="single" w:sz="8" w:space="0" w:color="000000"/>
              <w:right w:val="single" w:sz="8" w:space="0" w:color="000000"/>
            </w:tcBorders>
          </w:tcPr>
          <w:p w14:paraId="177E53B4"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Staff in the partner institutions develop the course document in consultation with the University and seek University approval for the course. The level of University input is specified on the CA2. </w:t>
            </w:r>
          </w:p>
          <w:p w14:paraId="645DDC1B" w14:textId="77777777" w:rsidR="00FC71CA" w:rsidRPr="00DB1B0E" w:rsidRDefault="00FC71CA" w:rsidP="00FC71CA">
            <w:pPr>
              <w:autoSpaceDE w:val="0"/>
              <w:autoSpaceDN w:val="0"/>
              <w:adjustRightInd w:val="0"/>
              <w:rPr>
                <w:rFonts w:eastAsia="Times New Roman" w:cs="Arial"/>
                <w:color w:val="000000"/>
                <w:sz w:val="17"/>
                <w:szCs w:val="17"/>
                <w:lang w:eastAsia="en-GB"/>
              </w:rPr>
            </w:pPr>
          </w:p>
          <w:p w14:paraId="7FD1EF17"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Costs are recovered through charges to partner institutions. </w:t>
            </w:r>
          </w:p>
        </w:tc>
        <w:tc>
          <w:tcPr>
            <w:tcW w:w="2126" w:type="dxa"/>
            <w:tcBorders>
              <w:top w:val="single" w:sz="8" w:space="0" w:color="000000"/>
              <w:left w:val="single" w:sz="8" w:space="0" w:color="000000"/>
              <w:bottom w:val="single" w:sz="8" w:space="0" w:color="000000"/>
              <w:right w:val="single" w:sz="8" w:space="0" w:color="000000"/>
            </w:tcBorders>
          </w:tcPr>
          <w:p w14:paraId="33CE4C27"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The course curriculum has already been developed by a University course team who teach the course at the University. A partner institution may propose to deliver that programme in the college using CA2a). </w:t>
            </w:r>
          </w:p>
          <w:p w14:paraId="0C4C4552" w14:textId="77777777" w:rsidR="00FC71CA" w:rsidRPr="00DB1B0E" w:rsidRDefault="00FC71CA" w:rsidP="00FC71CA">
            <w:pPr>
              <w:autoSpaceDE w:val="0"/>
              <w:autoSpaceDN w:val="0"/>
              <w:adjustRightInd w:val="0"/>
              <w:rPr>
                <w:rFonts w:eastAsia="Times New Roman" w:cs="Arial"/>
                <w:color w:val="000000"/>
                <w:sz w:val="17"/>
                <w:szCs w:val="17"/>
                <w:lang w:eastAsia="en-GB"/>
              </w:rPr>
            </w:pPr>
          </w:p>
          <w:p w14:paraId="650C0366"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Costs recovered through charges to partner institution.</w:t>
            </w:r>
          </w:p>
        </w:tc>
        <w:tc>
          <w:tcPr>
            <w:tcW w:w="1985" w:type="dxa"/>
            <w:tcBorders>
              <w:top w:val="single" w:sz="8" w:space="0" w:color="000000"/>
              <w:left w:val="single" w:sz="8" w:space="0" w:color="000000"/>
              <w:bottom w:val="single" w:sz="8" w:space="0" w:color="000000"/>
              <w:right w:val="single" w:sz="8" w:space="0" w:color="000000"/>
            </w:tcBorders>
          </w:tcPr>
          <w:p w14:paraId="18EB4B21"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The course will be validated as for an internal programme but each centre providing local support will be validated separately, concentrating on their ability to provide the local support required. </w:t>
            </w:r>
          </w:p>
          <w:p w14:paraId="15ADFA1F" w14:textId="77777777" w:rsidR="00FC71CA" w:rsidRPr="00DB1B0E" w:rsidRDefault="00FC71CA" w:rsidP="00FC71CA">
            <w:pPr>
              <w:autoSpaceDE w:val="0"/>
              <w:autoSpaceDN w:val="0"/>
              <w:adjustRightInd w:val="0"/>
              <w:rPr>
                <w:rFonts w:eastAsia="Times New Roman" w:cs="Arial"/>
                <w:color w:val="000000"/>
                <w:sz w:val="17"/>
                <w:szCs w:val="17"/>
                <w:lang w:eastAsia="en-GB"/>
              </w:rPr>
            </w:pPr>
          </w:p>
          <w:p w14:paraId="4E613587"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Costs are recovered through student fee / block grant income. </w:t>
            </w:r>
          </w:p>
        </w:tc>
        <w:tc>
          <w:tcPr>
            <w:tcW w:w="2314" w:type="dxa"/>
            <w:tcBorders>
              <w:top w:val="single" w:sz="8" w:space="0" w:color="000000"/>
              <w:left w:val="single" w:sz="8" w:space="0" w:color="000000"/>
              <w:bottom w:val="single" w:sz="8" w:space="0" w:color="000000"/>
            </w:tcBorders>
          </w:tcPr>
          <w:p w14:paraId="024F53B7"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Staff from both (all) institutions collaborate in the development of the programme and a joint (or separate if this is not feasible) validation event arranged. </w:t>
            </w:r>
          </w:p>
          <w:p w14:paraId="384B3486" w14:textId="77777777" w:rsidR="00FC71CA" w:rsidRPr="00DB1B0E" w:rsidRDefault="00FC71CA" w:rsidP="00FC71CA">
            <w:pPr>
              <w:autoSpaceDE w:val="0"/>
              <w:autoSpaceDN w:val="0"/>
              <w:adjustRightInd w:val="0"/>
              <w:rPr>
                <w:rFonts w:eastAsia="Times New Roman" w:cs="Arial"/>
                <w:color w:val="000000"/>
                <w:sz w:val="17"/>
                <w:szCs w:val="17"/>
                <w:lang w:eastAsia="en-GB"/>
              </w:rPr>
            </w:pPr>
          </w:p>
          <w:p w14:paraId="382AD67E"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The costs of the validation should be shared across partners and are recovered as per the agreed business case. </w:t>
            </w:r>
          </w:p>
        </w:tc>
      </w:tr>
      <w:tr w:rsidR="00FC71CA" w:rsidRPr="00DB1B0E" w14:paraId="386600C0" w14:textId="5788D681" w:rsidTr="00E54C85">
        <w:tc>
          <w:tcPr>
            <w:tcW w:w="1701" w:type="dxa"/>
            <w:tcBorders>
              <w:top w:val="single" w:sz="8" w:space="0" w:color="000000"/>
              <w:bottom w:val="single" w:sz="8" w:space="0" w:color="000000"/>
              <w:right w:val="single" w:sz="8" w:space="0" w:color="000000"/>
            </w:tcBorders>
          </w:tcPr>
          <w:p w14:paraId="0F216CCE"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Appointment of External Examiner(s) </w:t>
            </w:r>
          </w:p>
        </w:tc>
        <w:tc>
          <w:tcPr>
            <w:tcW w:w="2977" w:type="dxa"/>
            <w:tcBorders>
              <w:top w:val="single" w:sz="8" w:space="0" w:color="000000"/>
              <w:left w:val="single" w:sz="8" w:space="0" w:color="000000"/>
              <w:bottom w:val="single" w:sz="8" w:space="0" w:color="000000"/>
              <w:right w:val="single" w:sz="8" w:space="0" w:color="000000"/>
            </w:tcBorders>
          </w:tcPr>
          <w:p w14:paraId="1057D762"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for ‘top-up’, partner for feeder programme. </w:t>
            </w:r>
          </w:p>
        </w:tc>
        <w:tc>
          <w:tcPr>
            <w:tcW w:w="1985" w:type="dxa"/>
            <w:tcBorders>
              <w:top w:val="single" w:sz="8" w:space="0" w:color="000000"/>
              <w:left w:val="single" w:sz="8" w:space="0" w:color="000000"/>
              <w:bottom w:val="single" w:sz="8" w:space="0" w:color="000000"/>
              <w:right w:val="single" w:sz="8" w:space="0" w:color="000000"/>
            </w:tcBorders>
          </w:tcPr>
          <w:p w14:paraId="14EE7517"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w:t>
            </w:r>
          </w:p>
        </w:tc>
        <w:tc>
          <w:tcPr>
            <w:tcW w:w="2126" w:type="dxa"/>
            <w:tcBorders>
              <w:top w:val="single" w:sz="8" w:space="0" w:color="000000"/>
              <w:left w:val="single" w:sz="8" w:space="0" w:color="000000"/>
              <w:bottom w:val="single" w:sz="8" w:space="0" w:color="000000"/>
              <w:right w:val="single" w:sz="8" w:space="0" w:color="000000"/>
            </w:tcBorders>
          </w:tcPr>
          <w:p w14:paraId="1B0EA676"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w:t>
            </w:r>
          </w:p>
        </w:tc>
        <w:tc>
          <w:tcPr>
            <w:tcW w:w="2126" w:type="dxa"/>
            <w:tcBorders>
              <w:top w:val="single" w:sz="8" w:space="0" w:color="000000"/>
              <w:left w:val="single" w:sz="8" w:space="0" w:color="000000"/>
              <w:bottom w:val="single" w:sz="8" w:space="0" w:color="000000"/>
              <w:right w:val="single" w:sz="8" w:space="0" w:color="000000"/>
            </w:tcBorders>
          </w:tcPr>
          <w:p w14:paraId="1C14ABB3"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Ulster</w:t>
            </w:r>
          </w:p>
        </w:tc>
        <w:tc>
          <w:tcPr>
            <w:tcW w:w="1985" w:type="dxa"/>
            <w:tcBorders>
              <w:top w:val="single" w:sz="8" w:space="0" w:color="000000"/>
              <w:left w:val="single" w:sz="8" w:space="0" w:color="000000"/>
              <w:bottom w:val="single" w:sz="8" w:space="0" w:color="000000"/>
              <w:right w:val="single" w:sz="8" w:space="0" w:color="000000"/>
            </w:tcBorders>
          </w:tcPr>
          <w:p w14:paraId="600BB9A8"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w:t>
            </w:r>
          </w:p>
        </w:tc>
        <w:tc>
          <w:tcPr>
            <w:tcW w:w="2314" w:type="dxa"/>
            <w:tcBorders>
              <w:top w:val="single" w:sz="8" w:space="0" w:color="000000"/>
              <w:left w:val="single" w:sz="8" w:space="0" w:color="000000"/>
              <w:bottom w:val="single" w:sz="8" w:space="0" w:color="000000"/>
            </w:tcBorders>
          </w:tcPr>
          <w:p w14:paraId="3CDE54BF"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Common external appointed by each institution.</w:t>
            </w:r>
          </w:p>
        </w:tc>
      </w:tr>
      <w:tr w:rsidR="00FC71CA" w:rsidRPr="00DB1B0E" w14:paraId="7C102678" w14:textId="2B851C73" w:rsidTr="00E54C85">
        <w:tc>
          <w:tcPr>
            <w:tcW w:w="1701" w:type="dxa"/>
            <w:tcBorders>
              <w:top w:val="single" w:sz="8" w:space="0" w:color="000000"/>
              <w:bottom w:val="single" w:sz="8" w:space="0" w:color="000000"/>
              <w:right w:val="single" w:sz="8" w:space="0" w:color="000000"/>
            </w:tcBorders>
          </w:tcPr>
          <w:p w14:paraId="3C3785AA"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Payment of External Examiner(s) Fees and Expenses </w:t>
            </w:r>
          </w:p>
        </w:tc>
        <w:tc>
          <w:tcPr>
            <w:tcW w:w="2977" w:type="dxa"/>
            <w:tcBorders>
              <w:top w:val="single" w:sz="8" w:space="0" w:color="000000"/>
              <w:left w:val="single" w:sz="8" w:space="0" w:color="000000"/>
              <w:bottom w:val="single" w:sz="8" w:space="0" w:color="000000"/>
              <w:right w:val="single" w:sz="8" w:space="0" w:color="000000"/>
            </w:tcBorders>
          </w:tcPr>
          <w:p w14:paraId="390FA246"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for ‘top-up’ with costs covered through student fee/block grant income. </w:t>
            </w:r>
          </w:p>
        </w:tc>
        <w:tc>
          <w:tcPr>
            <w:tcW w:w="1985" w:type="dxa"/>
            <w:tcBorders>
              <w:top w:val="single" w:sz="8" w:space="0" w:color="000000"/>
              <w:left w:val="single" w:sz="8" w:space="0" w:color="000000"/>
              <w:bottom w:val="single" w:sz="8" w:space="0" w:color="000000"/>
              <w:right w:val="single" w:sz="8" w:space="0" w:color="000000"/>
            </w:tcBorders>
          </w:tcPr>
          <w:p w14:paraId="27D13744"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(but included in the calculation of charges to partners) </w:t>
            </w:r>
          </w:p>
        </w:tc>
        <w:tc>
          <w:tcPr>
            <w:tcW w:w="2126" w:type="dxa"/>
            <w:tcBorders>
              <w:top w:val="single" w:sz="8" w:space="0" w:color="000000"/>
              <w:left w:val="single" w:sz="8" w:space="0" w:color="000000"/>
              <w:bottom w:val="single" w:sz="8" w:space="0" w:color="000000"/>
              <w:right w:val="single" w:sz="8" w:space="0" w:color="000000"/>
            </w:tcBorders>
          </w:tcPr>
          <w:p w14:paraId="2041EB65"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(but included in the calculation of charges to partners) </w:t>
            </w:r>
          </w:p>
        </w:tc>
        <w:tc>
          <w:tcPr>
            <w:tcW w:w="2126" w:type="dxa"/>
            <w:tcBorders>
              <w:top w:val="single" w:sz="8" w:space="0" w:color="000000"/>
              <w:left w:val="single" w:sz="8" w:space="0" w:color="000000"/>
              <w:bottom w:val="single" w:sz="8" w:space="0" w:color="000000"/>
              <w:right w:val="single" w:sz="8" w:space="0" w:color="000000"/>
            </w:tcBorders>
          </w:tcPr>
          <w:p w14:paraId="1BF0444E"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Ulster</w:t>
            </w:r>
          </w:p>
        </w:tc>
        <w:tc>
          <w:tcPr>
            <w:tcW w:w="1985" w:type="dxa"/>
            <w:tcBorders>
              <w:top w:val="single" w:sz="8" w:space="0" w:color="000000"/>
              <w:left w:val="single" w:sz="8" w:space="0" w:color="000000"/>
              <w:bottom w:val="single" w:sz="8" w:space="0" w:color="000000"/>
              <w:right w:val="single" w:sz="8" w:space="0" w:color="000000"/>
            </w:tcBorders>
          </w:tcPr>
          <w:p w14:paraId="6B792A2B"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Ulster with costs covered through student fee / block grant income. </w:t>
            </w:r>
          </w:p>
        </w:tc>
        <w:tc>
          <w:tcPr>
            <w:tcW w:w="2314" w:type="dxa"/>
            <w:tcBorders>
              <w:top w:val="single" w:sz="8" w:space="0" w:color="000000"/>
              <w:left w:val="single" w:sz="8" w:space="0" w:color="000000"/>
              <w:bottom w:val="single" w:sz="8" w:space="0" w:color="000000"/>
            </w:tcBorders>
          </w:tcPr>
          <w:p w14:paraId="2253988D"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As agreed with partner(s). </w:t>
            </w:r>
          </w:p>
        </w:tc>
      </w:tr>
      <w:tr w:rsidR="00FC71CA" w:rsidRPr="00DB1B0E" w14:paraId="7BEA0477" w14:textId="1DFA72F5" w:rsidTr="00E54C85">
        <w:tc>
          <w:tcPr>
            <w:tcW w:w="1701" w:type="dxa"/>
            <w:tcBorders>
              <w:top w:val="single" w:sz="8" w:space="0" w:color="000000"/>
              <w:bottom w:val="single" w:sz="8" w:space="0" w:color="000000"/>
              <w:right w:val="single" w:sz="8" w:space="0" w:color="000000"/>
            </w:tcBorders>
          </w:tcPr>
          <w:p w14:paraId="12A0D437"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Annual Monitoring </w:t>
            </w:r>
          </w:p>
        </w:tc>
        <w:tc>
          <w:tcPr>
            <w:tcW w:w="2977" w:type="dxa"/>
            <w:tcBorders>
              <w:top w:val="single" w:sz="8" w:space="0" w:color="000000"/>
              <w:left w:val="single" w:sz="8" w:space="0" w:color="000000"/>
              <w:bottom w:val="single" w:sz="8" w:space="0" w:color="000000"/>
              <w:right w:val="single" w:sz="8" w:space="0" w:color="000000"/>
            </w:tcBorders>
          </w:tcPr>
          <w:p w14:paraId="1683D898" w14:textId="36F12F4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Programme Management System for ‘top-up’ element which will also be subject to monitoring through CAQE. However, as part of Programme Management System the associated Faculty should consider the performance of students from the feeder programme. </w:t>
            </w:r>
          </w:p>
        </w:tc>
        <w:tc>
          <w:tcPr>
            <w:tcW w:w="1985" w:type="dxa"/>
            <w:tcBorders>
              <w:top w:val="single" w:sz="8" w:space="0" w:color="000000"/>
              <w:left w:val="single" w:sz="8" w:space="0" w:color="000000"/>
              <w:bottom w:val="single" w:sz="8" w:space="0" w:color="000000"/>
              <w:right w:val="single" w:sz="8" w:space="0" w:color="000000"/>
            </w:tcBorders>
          </w:tcPr>
          <w:p w14:paraId="5B18EC8D"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CAQE (Collaborative) </w:t>
            </w:r>
          </w:p>
        </w:tc>
        <w:tc>
          <w:tcPr>
            <w:tcW w:w="2126" w:type="dxa"/>
            <w:tcBorders>
              <w:top w:val="single" w:sz="8" w:space="0" w:color="000000"/>
              <w:left w:val="single" w:sz="8" w:space="0" w:color="000000"/>
              <w:bottom w:val="single" w:sz="8" w:space="0" w:color="000000"/>
              <w:right w:val="single" w:sz="8" w:space="0" w:color="000000"/>
            </w:tcBorders>
          </w:tcPr>
          <w:p w14:paraId="6637B2F0"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CAQE (Collaborative) </w:t>
            </w:r>
          </w:p>
        </w:tc>
        <w:tc>
          <w:tcPr>
            <w:tcW w:w="2126" w:type="dxa"/>
            <w:tcBorders>
              <w:top w:val="single" w:sz="8" w:space="0" w:color="000000"/>
              <w:left w:val="single" w:sz="8" w:space="0" w:color="000000"/>
              <w:bottom w:val="single" w:sz="8" w:space="0" w:color="000000"/>
              <w:right w:val="single" w:sz="8" w:space="0" w:color="000000"/>
            </w:tcBorders>
          </w:tcPr>
          <w:p w14:paraId="01D8999A"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Programme Management System and CAQE</w:t>
            </w:r>
          </w:p>
        </w:tc>
        <w:tc>
          <w:tcPr>
            <w:tcW w:w="1985" w:type="dxa"/>
            <w:tcBorders>
              <w:top w:val="single" w:sz="8" w:space="0" w:color="000000"/>
              <w:left w:val="single" w:sz="8" w:space="0" w:color="000000"/>
              <w:bottom w:val="single" w:sz="8" w:space="0" w:color="000000"/>
              <w:right w:val="single" w:sz="8" w:space="0" w:color="000000"/>
            </w:tcBorders>
          </w:tcPr>
          <w:p w14:paraId="6D895873"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Programme Management System and CAQE</w:t>
            </w:r>
          </w:p>
        </w:tc>
        <w:tc>
          <w:tcPr>
            <w:tcW w:w="2314" w:type="dxa"/>
            <w:tcBorders>
              <w:top w:val="single" w:sz="8" w:space="0" w:color="000000"/>
              <w:left w:val="single" w:sz="8" w:space="0" w:color="000000"/>
              <w:bottom w:val="single" w:sz="8" w:space="0" w:color="000000"/>
            </w:tcBorders>
          </w:tcPr>
          <w:p w14:paraId="491313C3" w14:textId="77777777" w:rsidR="00FC71CA" w:rsidRPr="00DB1B0E" w:rsidRDefault="00FC71CA" w:rsidP="00FC71CA">
            <w:pPr>
              <w:autoSpaceDE w:val="0"/>
              <w:autoSpaceDN w:val="0"/>
              <w:adjustRightInd w:val="0"/>
              <w:rPr>
                <w:rFonts w:eastAsia="Times New Roman" w:cs="Arial"/>
                <w:color w:val="000000"/>
                <w:sz w:val="17"/>
                <w:szCs w:val="17"/>
                <w:lang w:eastAsia="en-GB"/>
              </w:rPr>
            </w:pPr>
            <w:r w:rsidRPr="00DB1B0E">
              <w:rPr>
                <w:rFonts w:eastAsia="Times New Roman" w:cs="Arial"/>
                <w:color w:val="000000"/>
                <w:sz w:val="17"/>
                <w:szCs w:val="17"/>
                <w:lang w:eastAsia="en-GB"/>
              </w:rPr>
              <w:t xml:space="preserve">Programme Management System and CAQE </w:t>
            </w:r>
          </w:p>
        </w:tc>
      </w:tr>
    </w:tbl>
    <w:p w14:paraId="144C9CE6" w14:textId="77777777" w:rsidR="00605623" w:rsidRPr="00E54C85" w:rsidRDefault="00605623" w:rsidP="00E54C85">
      <w:pPr>
        <w:autoSpaceDE w:val="0"/>
        <w:autoSpaceDN w:val="0"/>
        <w:adjustRightInd w:val="0"/>
        <w:rPr>
          <w:rFonts w:eastAsia="Times New Roman" w:cs="Arial"/>
          <w:color w:val="000000"/>
          <w:sz w:val="18"/>
          <w:szCs w:val="18"/>
          <w:lang w:eastAsia="en-GB"/>
        </w:rPr>
      </w:pPr>
      <w:bookmarkStart w:id="0" w:name="_GoBack"/>
      <w:bookmarkEnd w:id="0"/>
    </w:p>
    <w:sectPr w:rsidR="00605623" w:rsidRPr="00E54C85" w:rsidSect="00DB1B0E">
      <w:pgSz w:w="16838" w:h="11906" w:orient="landscape"/>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1B0E"/>
    <w:rsid w:val="00320352"/>
    <w:rsid w:val="003246B9"/>
    <w:rsid w:val="00605623"/>
    <w:rsid w:val="00DB1B0E"/>
    <w:rsid w:val="00E54C85"/>
    <w:rsid w:val="00E950C9"/>
    <w:rsid w:val="00FC7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2BE8F0"/>
  <w15:chartTrackingRefBased/>
  <w15:docId w15:val="{C49B30EA-A449-46A1-BBCE-5A3AD50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lang w:eastAsia="en-US"/>
    </w:rPr>
  </w:style>
  <w:style w:type="paragraph" w:styleId="Heading1">
    <w:name w:val="heading 1"/>
    <w:basedOn w:val="Normal"/>
    <w:next w:val="Normal"/>
    <w:link w:val="Heading1Char"/>
    <w:uiPriority w:val="9"/>
    <w:qFormat/>
    <w:rsid w:val="00320352"/>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0352"/>
    <w:rPr>
      <w:rFonts w:ascii="Arial" w:eastAsia="Times New Roman" w:hAnsi="Arial"/>
      <w:b/>
      <w:bCs/>
      <w:kern w:val="32"/>
      <w:sz w:val="32"/>
      <w:szCs w:val="32"/>
    </w:rPr>
  </w:style>
  <w:style w:type="character" w:customStyle="1" w:styleId="Heading2Char">
    <w:name w:val="Heading 2 Char"/>
    <w:link w:val="Heading2"/>
    <w:uiPriority w:val="9"/>
    <w:semiHidden/>
    <w:rsid w:val="00320352"/>
    <w:rPr>
      <w:rFonts w:ascii="Arial" w:eastAsia="Times New Roman" w:hAnsi="Arial"/>
      <w:b/>
      <w:bCs/>
      <w:i/>
      <w:iCs/>
      <w:sz w:val="28"/>
      <w:szCs w:val="28"/>
    </w:rPr>
  </w:style>
  <w:style w:type="character" w:customStyle="1" w:styleId="Heading3Char">
    <w:name w:val="Heading 3 Char"/>
    <w:link w:val="Heading3"/>
    <w:uiPriority w:val="9"/>
    <w:semiHidden/>
    <w:rsid w:val="00320352"/>
    <w:rPr>
      <w:rFonts w:ascii="Arial" w:eastAsia="Times New Roman" w:hAnsi="Arial"/>
      <w:b/>
      <w:bCs/>
      <w:sz w:val="26"/>
      <w:szCs w:val="26"/>
    </w:rPr>
  </w:style>
  <w:style w:type="character" w:customStyle="1" w:styleId="Heading4Char">
    <w:name w:val="Heading 4 Char"/>
    <w:link w:val="Heading4"/>
    <w:uiPriority w:val="9"/>
    <w:semiHidden/>
    <w:rsid w:val="00320352"/>
    <w:rPr>
      <w:b/>
      <w:bCs/>
      <w:sz w:val="28"/>
      <w:szCs w:val="28"/>
    </w:rPr>
  </w:style>
  <w:style w:type="character" w:customStyle="1" w:styleId="Heading5Char">
    <w:name w:val="Heading 5 Char"/>
    <w:link w:val="Heading5"/>
    <w:uiPriority w:val="9"/>
    <w:semiHidden/>
    <w:rsid w:val="00320352"/>
    <w:rPr>
      <w:b/>
      <w:bCs/>
      <w:i/>
      <w:iCs/>
      <w:sz w:val="26"/>
      <w:szCs w:val="26"/>
    </w:rPr>
  </w:style>
  <w:style w:type="character" w:customStyle="1" w:styleId="Heading6Char">
    <w:name w:val="Heading 6 Char"/>
    <w:link w:val="Heading6"/>
    <w:uiPriority w:val="9"/>
    <w:semiHidden/>
    <w:rsid w:val="00320352"/>
    <w:rPr>
      <w:b/>
      <w:bCs/>
    </w:rPr>
  </w:style>
  <w:style w:type="character" w:customStyle="1" w:styleId="Heading7Char">
    <w:name w:val="Heading 7 Char"/>
    <w:link w:val="Heading7"/>
    <w:uiPriority w:val="9"/>
    <w:semiHidden/>
    <w:rsid w:val="00320352"/>
    <w:rPr>
      <w:sz w:val="24"/>
      <w:szCs w:val="24"/>
    </w:rPr>
  </w:style>
  <w:style w:type="character" w:customStyle="1" w:styleId="Heading8Char">
    <w:name w:val="Heading 8 Char"/>
    <w:link w:val="Heading8"/>
    <w:uiPriority w:val="9"/>
    <w:semiHidden/>
    <w:rsid w:val="00320352"/>
    <w:rPr>
      <w:i/>
      <w:iCs/>
      <w:sz w:val="24"/>
      <w:szCs w:val="24"/>
    </w:rPr>
  </w:style>
  <w:style w:type="character" w:customStyle="1" w:styleId="Heading9Char">
    <w:name w:val="Heading 9 Char"/>
    <w:link w:val="Heading9"/>
    <w:uiPriority w:val="9"/>
    <w:semiHidden/>
    <w:rsid w:val="00320352"/>
    <w:rPr>
      <w:rFonts w:ascii="Arial" w:eastAsia="Times New Roman" w:hAnsi="Arial"/>
    </w:rPr>
  </w:style>
  <w:style w:type="paragraph" w:styleId="Title">
    <w:name w:val="Title"/>
    <w:basedOn w:val="Normal"/>
    <w:next w:val="Normal"/>
    <w:link w:val="TitleChar"/>
    <w:uiPriority w:val="10"/>
    <w:qFormat/>
    <w:rsid w:val="00320352"/>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320352"/>
    <w:rPr>
      <w:rFonts w:ascii="Arial" w:eastAsia="Times New Roman" w:hAnsi="Arial"/>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eastAsia="Times New Roman"/>
    </w:rPr>
  </w:style>
  <w:style w:type="character" w:customStyle="1" w:styleId="SubtitleChar">
    <w:name w:val="Subtitle Char"/>
    <w:link w:val="Subtitle"/>
    <w:uiPriority w:val="11"/>
    <w:rsid w:val="00320352"/>
    <w:rPr>
      <w:rFonts w:ascii="Arial" w:eastAsia="Times New Roman" w:hAnsi="Arial"/>
      <w:sz w:val="24"/>
      <w:szCs w:val="24"/>
    </w:rPr>
  </w:style>
  <w:style w:type="character" w:styleId="Strong">
    <w:name w:val="Strong"/>
    <w:uiPriority w:val="22"/>
    <w:qFormat/>
    <w:rsid w:val="00320352"/>
    <w:rPr>
      <w:b/>
      <w:bCs/>
    </w:rPr>
  </w:style>
  <w:style w:type="character" w:styleId="Emphasis">
    <w:name w:val="Emphasis"/>
    <w:uiPriority w:val="20"/>
    <w:qFormat/>
    <w:rsid w:val="00320352"/>
    <w:rPr>
      <w:rFonts w:ascii="Arial" w:hAnsi="Arial"/>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link w:val="IntenseQuote"/>
    <w:uiPriority w:val="30"/>
    <w:rsid w:val="00320352"/>
    <w:rPr>
      <w:b/>
      <w:i/>
      <w:sz w:val="24"/>
    </w:rPr>
  </w:style>
  <w:style w:type="character" w:styleId="SubtleEmphasis">
    <w:name w:val="Subtle Emphasis"/>
    <w:uiPriority w:val="19"/>
    <w:qFormat/>
    <w:rsid w:val="00320352"/>
    <w:rPr>
      <w:i/>
      <w:color w:val="5A5A5A"/>
    </w:rPr>
  </w:style>
  <w:style w:type="character" w:styleId="IntenseEmphasis">
    <w:name w:val="Intense Emphasis"/>
    <w:uiPriority w:val="21"/>
    <w:qFormat/>
    <w:rsid w:val="00320352"/>
    <w:rPr>
      <w:b/>
      <w:i/>
      <w:sz w:val="24"/>
      <w:szCs w:val="24"/>
      <w:u w:val="single"/>
    </w:rPr>
  </w:style>
  <w:style w:type="character" w:styleId="SubtleReference">
    <w:name w:val="Subtle Reference"/>
    <w:uiPriority w:val="31"/>
    <w:qFormat/>
    <w:rsid w:val="00320352"/>
    <w:rPr>
      <w:sz w:val="24"/>
      <w:szCs w:val="24"/>
      <w:u w:val="single"/>
    </w:rPr>
  </w:style>
  <w:style w:type="character" w:styleId="IntenseReference">
    <w:name w:val="Intense Reference"/>
    <w:uiPriority w:val="32"/>
    <w:qFormat/>
    <w:rsid w:val="00320352"/>
    <w:rPr>
      <w:b/>
      <w:sz w:val="24"/>
      <w:u w:val="single"/>
    </w:rPr>
  </w:style>
  <w:style w:type="character" w:styleId="BookTitle">
    <w:name w:val="Book Title"/>
    <w:uiPriority w:val="33"/>
    <w:qFormat/>
    <w:rsid w:val="00320352"/>
    <w:rPr>
      <w:rFonts w:ascii="Arial" w:eastAsia="Times New Roman" w:hAnsi="Arial"/>
      <w:b/>
      <w:i/>
      <w:sz w:val="24"/>
      <w:szCs w:val="24"/>
    </w:rPr>
  </w:style>
  <w:style w:type="paragraph" w:styleId="TOCHeading">
    <w:name w:val="TOC Heading"/>
    <w:basedOn w:val="Heading1"/>
    <w:next w:val="Normal"/>
    <w:uiPriority w:val="39"/>
    <w:semiHidden/>
    <w:unhideWhenUsed/>
    <w:qFormat/>
    <w:rsid w:val="003203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f8289cbb741508d4660e24a029aaf642">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8a3a0efd855f5cc907bb8c88c545fa74"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1E311-FEF5-47A4-8118-1EEC3552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2F01A-999D-4DDC-AD39-C3BE3DD2D055}">
  <ds:schemaRefs>
    <ds:schemaRef ds:uri="http://schemas.microsoft.com/sharepoint/v3/contenttype/forms"/>
  </ds:schemaRefs>
</ds:datastoreItem>
</file>

<file path=customXml/itemProps3.xml><?xml version="1.0" encoding="utf-8"?>
<ds:datastoreItem xmlns:ds="http://schemas.openxmlformats.org/officeDocument/2006/customXml" ds:itemID="{03CF0C0F-D3C6-49CC-830D-E0BF4388E956}">
  <ds:schemaRefs>
    <ds:schemaRef ds:uri="9e7e0b50-5011-4b11-84ba-93af64649f43"/>
    <ds:schemaRef ds:uri="http://purl.org/dc/elements/1.1/"/>
    <ds:schemaRef ds:uri="http://schemas.microsoft.com/office/2006/documentManagement/types"/>
    <ds:schemaRef ds:uri="74d9d59e-890c-483a-987e-78fa923dc9f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2</cp:revision>
  <dcterms:created xsi:type="dcterms:W3CDTF">2020-09-01T09:43:00Z</dcterms:created>
  <dcterms:modified xsi:type="dcterms:W3CDTF">2020-09-01T09:43:00Z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