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FE3C3" w14:textId="77777777" w:rsidR="00BE5393" w:rsidRPr="00E82771" w:rsidRDefault="00BE5393" w:rsidP="00BE5393">
      <w:pPr>
        <w:jc w:val="center"/>
        <w:rPr>
          <w:b/>
        </w:rPr>
      </w:pPr>
      <w:bookmarkStart w:id="0" w:name="_GoBack"/>
      <w:bookmarkEnd w:id="0"/>
      <w:r w:rsidRPr="005B3E7C">
        <w:rPr>
          <w:b/>
        </w:rPr>
        <w:t xml:space="preserve">ASSESSMENT WORKLOAD </w:t>
      </w:r>
      <w:r>
        <w:rPr>
          <w:b/>
        </w:rPr>
        <w:t>EQUIVALENCE GUIDE</w:t>
      </w:r>
    </w:p>
    <w:p w14:paraId="00D1B178" w14:textId="77777777" w:rsidR="00BE5393" w:rsidRDefault="00BE5393" w:rsidP="00BE5393">
      <w:pPr>
        <w:rPr>
          <w:b/>
        </w:rPr>
      </w:pPr>
      <w:r>
        <w:rPr>
          <w:b/>
        </w:rPr>
        <w:t>BACKGROUND</w:t>
      </w:r>
    </w:p>
    <w:p w14:paraId="0792055D" w14:textId="305A72D9" w:rsidR="00BE5393" w:rsidRDefault="00BE5393" w:rsidP="00BE5393">
      <w:r>
        <w:t>Curriculum Design principles are being implemented at the point of programme approval/re-approval with a view to enhance students’ learning experience and improve the working lives of staff. In summary, modules should normally be of 20 credit points or more, have up to four learn</w:t>
      </w:r>
      <w:r w:rsidR="009E3602">
        <w:t>ing outcomes and no more than 2 items</w:t>
      </w:r>
      <w:r>
        <w:t xml:space="preserve">* of assessment. Programme teams will also be encouraged to ensure equity and consistency in assessment workload across modules of the same level and credit worth. </w:t>
      </w:r>
    </w:p>
    <w:p w14:paraId="07E4802E" w14:textId="77777777" w:rsidR="00BE5393" w:rsidRDefault="00BE5393" w:rsidP="00BE5393">
      <w:r>
        <w:t xml:space="preserve">This guide has been constructed to support the process of assessment design, and to help ensure consistency of student effort commensurate with the credit value of the module. Nonetheless, it is not meant to be overly prescriptive as the demands and preparation time of assessed work can vary considerably depending on the nature, context and level of that work, and also the differing work rates of individual students. </w:t>
      </w:r>
    </w:p>
    <w:p w14:paraId="641616F3" w14:textId="2041352D" w:rsidR="00BE5393" w:rsidRDefault="00BE5393" w:rsidP="00BE5393">
      <w:r>
        <w:t xml:space="preserve">Word count equivalence is traditionally used as a workload indicator but it must also be acknowledged that allocating word count equivalency to practical or </w:t>
      </w:r>
      <w:r w:rsidR="003B4C0E">
        <w:t>non-traditional assessments is challenging</w:t>
      </w:r>
      <w:r>
        <w:t>. Programme teams are therefore encouraged to share and discuss their assessment strategies</w:t>
      </w:r>
      <w:r w:rsidR="003B4C0E">
        <w:t>,</w:t>
      </w:r>
      <w:r>
        <w:t xml:space="preserve"> to determine appropriate workloads/work hours for their subject-specific contexts, stages and programme levels. This guide is aimed at supporting such discussion.</w:t>
      </w:r>
    </w:p>
    <w:p w14:paraId="3E7B4D3E" w14:textId="77777777" w:rsidR="00BE5393" w:rsidRDefault="00BE5393" w:rsidP="00BE5393">
      <w:r>
        <w:t>This guide includes examples of word count equivalency for commonly used assessment methods but also suggests notional assessment work hours/preparation as a proportion of the notional learning hours for the module. Independent study contributes to the majority of learning hours for a given module. Work undertaken during this time may include background reading, reflection, preparation for seminars or tutorials, online activity, follow-up work, wider practice as well as assessment tasks. The proportion of notional learning hours for the preparation and completion of assessment tasks is set at 20% i.e. 40 hours for a 20 credit module. Assessment work hours will include e.g. gathering, reading and organising information, drafting plans, writing-up/assembly, editing, revision or rehearsal, and delivery time i.e. delivering a presentation or completing an exam.</w:t>
      </w:r>
    </w:p>
    <w:p w14:paraId="1B4F2755" w14:textId="1213886A" w:rsidR="00BE5393" w:rsidRDefault="00BE5393" w:rsidP="00BE5393">
      <w:r>
        <w:t xml:space="preserve">5 credit workload examples have been offered to support staff in designing staged assessment methods comprising multiple assessment </w:t>
      </w:r>
      <w:r w:rsidR="003B4C0E">
        <w:t>tasks*</w:t>
      </w:r>
      <w:r>
        <w:t xml:space="preserve"> spread over a semester or academic year. The small assessment </w:t>
      </w:r>
      <w:r w:rsidR="003B4C0E">
        <w:t>tasks</w:t>
      </w:r>
      <w:r>
        <w:t xml:space="preserve"> comprise the building blocks of an assessment </w:t>
      </w:r>
      <w:r w:rsidR="003B4C0E">
        <w:t>item</w:t>
      </w:r>
      <w:r>
        <w:t xml:space="preserve"> and collectively assess the module learning outcomes.</w:t>
      </w:r>
    </w:p>
    <w:p w14:paraId="46A49942" w14:textId="77777777" w:rsidR="00BE5393" w:rsidRPr="002F1B00" w:rsidRDefault="00BE5393" w:rsidP="00BE5393">
      <w:r>
        <w:t>Note: many of the assessment types can be scaled up for 20 or more credits but scaling up may be impractical in some cases (e.g. presentations) due to large student numbers.</w:t>
      </w:r>
    </w:p>
    <w:p w14:paraId="78410E0F" w14:textId="77777777" w:rsidR="00D8332E" w:rsidRDefault="00D8332E" w:rsidP="00BE5393">
      <w:pPr>
        <w:rPr>
          <w:b/>
        </w:rPr>
      </w:pPr>
    </w:p>
    <w:p w14:paraId="1409E0BC" w14:textId="77777777" w:rsidR="00D8332E" w:rsidRDefault="00D8332E" w:rsidP="00BE5393">
      <w:pPr>
        <w:rPr>
          <w:b/>
        </w:rPr>
      </w:pPr>
    </w:p>
    <w:p w14:paraId="2F416BFC" w14:textId="77777777" w:rsidR="00D8332E" w:rsidRDefault="00D8332E" w:rsidP="00BE5393">
      <w:pPr>
        <w:rPr>
          <w:b/>
        </w:rPr>
      </w:pPr>
    </w:p>
    <w:p w14:paraId="37F298A0" w14:textId="77777777" w:rsidR="00D8332E" w:rsidRDefault="00D8332E" w:rsidP="00BE5393">
      <w:pPr>
        <w:rPr>
          <w:b/>
        </w:rPr>
      </w:pPr>
    </w:p>
    <w:p w14:paraId="5CEC678B" w14:textId="77777777" w:rsidR="00D8332E" w:rsidRDefault="00D8332E" w:rsidP="00BE5393">
      <w:pPr>
        <w:rPr>
          <w:b/>
        </w:rPr>
      </w:pPr>
    </w:p>
    <w:p w14:paraId="4C30D128" w14:textId="77777777" w:rsidR="00D8332E" w:rsidRDefault="00D8332E" w:rsidP="00BE5393">
      <w:pPr>
        <w:rPr>
          <w:b/>
        </w:rPr>
      </w:pPr>
    </w:p>
    <w:p w14:paraId="3398475A" w14:textId="744D1523" w:rsidR="00BE5393" w:rsidRDefault="00BE5393" w:rsidP="00BE5393">
      <w:pPr>
        <w:rPr>
          <w:b/>
        </w:rPr>
      </w:pPr>
      <w:r w:rsidRPr="00E82771">
        <w:rPr>
          <w:b/>
        </w:rPr>
        <w:t>MODULE SIZE AND WORKLOADS</w:t>
      </w:r>
    </w:p>
    <w:tbl>
      <w:tblPr>
        <w:tblStyle w:val="TableGrid"/>
        <w:tblW w:w="0" w:type="auto"/>
        <w:tblLook w:val="04A0" w:firstRow="1" w:lastRow="0" w:firstColumn="1" w:lastColumn="0" w:noHBand="0" w:noVBand="1"/>
      </w:tblPr>
      <w:tblGrid>
        <w:gridCol w:w="3005"/>
        <w:gridCol w:w="3005"/>
        <w:gridCol w:w="3006"/>
      </w:tblGrid>
      <w:tr w:rsidR="00BE5393" w14:paraId="446B96B3" w14:textId="77777777" w:rsidTr="00264E71">
        <w:tc>
          <w:tcPr>
            <w:tcW w:w="9016" w:type="dxa"/>
            <w:gridSpan w:val="3"/>
          </w:tcPr>
          <w:p w14:paraId="73F62162" w14:textId="77777777" w:rsidR="00BE5393" w:rsidRDefault="00BE5393" w:rsidP="00264E71">
            <w:pPr>
              <w:jc w:val="center"/>
              <w:rPr>
                <w:b/>
              </w:rPr>
            </w:pPr>
            <w:r>
              <w:rPr>
                <w:b/>
              </w:rPr>
              <w:t>20 Credit Module</w:t>
            </w:r>
          </w:p>
        </w:tc>
      </w:tr>
      <w:tr w:rsidR="00BE5393" w14:paraId="279C66BF" w14:textId="77777777" w:rsidTr="00264E71">
        <w:tc>
          <w:tcPr>
            <w:tcW w:w="3005" w:type="dxa"/>
          </w:tcPr>
          <w:p w14:paraId="6E8132A8" w14:textId="77777777" w:rsidR="00BE5393" w:rsidRPr="005058C1" w:rsidRDefault="00BE5393" w:rsidP="00264E71">
            <w:r w:rsidRPr="005058C1">
              <w:rPr>
                <w:b/>
              </w:rPr>
              <w:t>200</w:t>
            </w:r>
            <w:r w:rsidRPr="005058C1">
              <w:t xml:space="preserve"> notional learning hours</w:t>
            </w:r>
          </w:p>
          <w:p w14:paraId="6D814ADE" w14:textId="77777777" w:rsidR="00BE5393" w:rsidRDefault="00BE5393" w:rsidP="00264E71">
            <w:pPr>
              <w:rPr>
                <w:b/>
              </w:rPr>
            </w:pPr>
            <w:r w:rsidRPr="005058C1">
              <w:t xml:space="preserve">(comprises </w:t>
            </w:r>
            <w:r>
              <w:t>contact time</w:t>
            </w:r>
            <w:r w:rsidRPr="005058C1">
              <w:t>, directed study, independent study including assessment preparation)</w:t>
            </w:r>
          </w:p>
        </w:tc>
        <w:tc>
          <w:tcPr>
            <w:tcW w:w="3005" w:type="dxa"/>
          </w:tcPr>
          <w:p w14:paraId="14221FF6" w14:textId="77777777" w:rsidR="00BE5393" w:rsidRPr="005058C1" w:rsidRDefault="00BE5393" w:rsidP="00264E71">
            <w:r w:rsidRPr="005058C1">
              <w:t xml:space="preserve">Assessment learning hours/preparation constitutes approx. </w:t>
            </w:r>
            <w:r w:rsidRPr="005058C1">
              <w:rPr>
                <w:b/>
              </w:rPr>
              <w:t>2</w:t>
            </w:r>
            <w:r>
              <w:rPr>
                <w:b/>
              </w:rPr>
              <w:t>0</w:t>
            </w:r>
            <w:r w:rsidRPr="005058C1">
              <w:rPr>
                <w:b/>
              </w:rPr>
              <w:t>%</w:t>
            </w:r>
            <w:r w:rsidRPr="005058C1">
              <w:t xml:space="preserve"> of notional module learning hours</w:t>
            </w:r>
          </w:p>
        </w:tc>
        <w:tc>
          <w:tcPr>
            <w:tcW w:w="3006" w:type="dxa"/>
          </w:tcPr>
          <w:p w14:paraId="7C30D6D6" w14:textId="77777777" w:rsidR="00BE5393" w:rsidRDefault="00BE5393" w:rsidP="00264E71">
            <w:r w:rsidRPr="005058C1">
              <w:rPr>
                <w:b/>
              </w:rPr>
              <w:t>40 hours</w:t>
            </w:r>
            <w:r>
              <w:t xml:space="preserve"> notional assessment work hours</w:t>
            </w:r>
          </w:p>
          <w:p w14:paraId="78AED1F7" w14:textId="77777777" w:rsidR="00BE5393" w:rsidRDefault="00BE5393" w:rsidP="00264E71"/>
          <w:p w14:paraId="65B9E53E" w14:textId="77777777" w:rsidR="00BE5393" w:rsidRPr="002F1B00" w:rsidRDefault="00BE5393" w:rsidP="00264E71">
            <w:r>
              <w:rPr>
                <w:b/>
              </w:rPr>
              <w:t xml:space="preserve">4000 </w:t>
            </w:r>
            <w:r w:rsidRPr="005058C1">
              <w:t>word count equivalence</w:t>
            </w:r>
          </w:p>
        </w:tc>
      </w:tr>
    </w:tbl>
    <w:p w14:paraId="2E9AF444" w14:textId="77777777" w:rsidR="00D8332E" w:rsidRPr="00D8332E" w:rsidRDefault="00D8332E" w:rsidP="00BE5393">
      <w:pPr>
        <w:rPr>
          <w:sz w:val="2"/>
        </w:rPr>
      </w:pPr>
    </w:p>
    <w:p w14:paraId="73BB3D75" w14:textId="3D012D37" w:rsidR="00BE5393" w:rsidRPr="00D06A27" w:rsidRDefault="00D8332E" w:rsidP="00BE5393">
      <w:r>
        <w:rPr>
          <w:b/>
        </w:rPr>
        <w:t>A</w:t>
      </w:r>
      <w:r w:rsidR="00BE5393" w:rsidRPr="005B3E7C">
        <w:rPr>
          <w:b/>
        </w:rPr>
        <w:t>ssessment equivalence examples</w:t>
      </w:r>
      <w:r w:rsidR="00BE5393" w:rsidRPr="005B3E7C">
        <w:t>:</w:t>
      </w:r>
    </w:p>
    <w:tbl>
      <w:tblPr>
        <w:tblStyle w:val="TableGrid"/>
        <w:tblW w:w="0" w:type="auto"/>
        <w:jc w:val="center"/>
        <w:tblLook w:val="04A0" w:firstRow="1" w:lastRow="0" w:firstColumn="1" w:lastColumn="0" w:noHBand="0" w:noVBand="1"/>
      </w:tblPr>
      <w:tblGrid>
        <w:gridCol w:w="3539"/>
        <w:gridCol w:w="2693"/>
        <w:gridCol w:w="1701"/>
        <w:gridCol w:w="1083"/>
      </w:tblGrid>
      <w:tr w:rsidR="00BE5393" w:rsidRPr="005B3E7C" w14:paraId="357AE71A" w14:textId="77777777" w:rsidTr="00D8332E">
        <w:trPr>
          <w:jc w:val="center"/>
        </w:trPr>
        <w:tc>
          <w:tcPr>
            <w:tcW w:w="3539" w:type="dxa"/>
          </w:tcPr>
          <w:p w14:paraId="3BCCDD34" w14:textId="77777777" w:rsidR="00D8332E" w:rsidRDefault="00D8332E" w:rsidP="00264E71">
            <w:pPr>
              <w:jc w:val="center"/>
              <w:rPr>
                <w:b/>
              </w:rPr>
            </w:pPr>
          </w:p>
          <w:p w14:paraId="7131983A" w14:textId="72C99E5A" w:rsidR="00BE5393" w:rsidRPr="005B3E7C" w:rsidRDefault="00BE5393" w:rsidP="00264E71">
            <w:pPr>
              <w:jc w:val="center"/>
              <w:rPr>
                <w:b/>
              </w:rPr>
            </w:pPr>
            <w:r>
              <w:rPr>
                <w:b/>
              </w:rPr>
              <w:t>Assessment Type</w:t>
            </w:r>
          </w:p>
        </w:tc>
        <w:tc>
          <w:tcPr>
            <w:tcW w:w="2693" w:type="dxa"/>
          </w:tcPr>
          <w:p w14:paraId="17EBF1A5" w14:textId="77777777" w:rsidR="00D8332E" w:rsidRDefault="00D8332E" w:rsidP="00264E71">
            <w:pPr>
              <w:jc w:val="center"/>
              <w:rPr>
                <w:b/>
              </w:rPr>
            </w:pPr>
          </w:p>
          <w:p w14:paraId="16A9EA79" w14:textId="3D4EED21" w:rsidR="00BE5393" w:rsidRPr="005B3E7C" w:rsidRDefault="00BE5393" w:rsidP="00264E71">
            <w:pPr>
              <w:jc w:val="center"/>
              <w:rPr>
                <w:b/>
              </w:rPr>
            </w:pPr>
            <w:r>
              <w:rPr>
                <w:b/>
              </w:rPr>
              <w:t>WCE</w:t>
            </w:r>
          </w:p>
        </w:tc>
        <w:tc>
          <w:tcPr>
            <w:tcW w:w="1701" w:type="dxa"/>
          </w:tcPr>
          <w:p w14:paraId="0F94F21C" w14:textId="77777777" w:rsidR="00BE5393" w:rsidRPr="005B3E7C" w:rsidRDefault="00BE5393" w:rsidP="00264E71">
            <w:pPr>
              <w:jc w:val="center"/>
              <w:rPr>
                <w:b/>
              </w:rPr>
            </w:pPr>
            <w:r w:rsidRPr="00FF7B2D">
              <w:rPr>
                <w:b/>
                <w:u w:val="single"/>
              </w:rPr>
              <w:t>Notional</w:t>
            </w:r>
            <w:r>
              <w:rPr>
                <w:b/>
              </w:rPr>
              <w:t xml:space="preserve"> Assessment Work Hours</w:t>
            </w:r>
          </w:p>
        </w:tc>
        <w:tc>
          <w:tcPr>
            <w:tcW w:w="1083" w:type="dxa"/>
          </w:tcPr>
          <w:p w14:paraId="4D3076A1" w14:textId="77777777" w:rsidR="00D8332E" w:rsidRDefault="00D8332E" w:rsidP="00264E71">
            <w:pPr>
              <w:jc w:val="center"/>
              <w:rPr>
                <w:b/>
              </w:rPr>
            </w:pPr>
          </w:p>
          <w:p w14:paraId="6018E0F4" w14:textId="51A1F492" w:rsidR="00BE5393" w:rsidRPr="005B3E7C" w:rsidRDefault="00BE5393" w:rsidP="00264E71">
            <w:pPr>
              <w:jc w:val="center"/>
              <w:rPr>
                <w:b/>
              </w:rPr>
            </w:pPr>
            <w:r>
              <w:rPr>
                <w:b/>
              </w:rPr>
              <w:t>Credits</w:t>
            </w:r>
          </w:p>
        </w:tc>
      </w:tr>
      <w:tr w:rsidR="00BE5393" w:rsidRPr="005B3E7C" w14:paraId="7B781064" w14:textId="77777777" w:rsidTr="00D8332E">
        <w:trPr>
          <w:jc w:val="center"/>
        </w:trPr>
        <w:tc>
          <w:tcPr>
            <w:tcW w:w="3539" w:type="dxa"/>
            <w:vAlign w:val="center"/>
          </w:tcPr>
          <w:p w14:paraId="4700B0F4" w14:textId="501EC2CD" w:rsidR="00D8332E" w:rsidRPr="00B072DD" w:rsidRDefault="00BE5393" w:rsidP="00D8332E">
            <w:pPr>
              <w:jc w:val="center"/>
            </w:pPr>
            <w:r w:rsidRPr="00B072DD">
              <w:t>Written essay</w:t>
            </w:r>
          </w:p>
        </w:tc>
        <w:tc>
          <w:tcPr>
            <w:tcW w:w="2693" w:type="dxa"/>
            <w:vAlign w:val="center"/>
          </w:tcPr>
          <w:p w14:paraId="6303F575" w14:textId="3DAA60D5" w:rsidR="00D8332E" w:rsidRPr="00B072DD" w:rsidRDefault="00BE5393" w:rsidP="00D8332E">
            <w:pPr>
              <w:jc w:val="center"/>
            </w:pPr>
            <w:r w:rsidRPr="00B072DD">
              <w:t>1000 words</w:t>
            </w:r>
          </w:p>
        </w:tc>
        <w:tc>
          <w:tcPr>
            <w:tcW w:w="1701" w:type="dxa"/>
            <w:vAlign w:val="center"/>
          </w:tcPr>
          <w:p w14:paraId="6FED9E99" w14:textId="7AA57F4A" w:rsidR="00BE5393" w:rsidRPr="00B072DD" w:rsidRDefault="00BE5393" w:rsidP="00D8332E">
            <w:pPr>
              <w:jc w:val="center"/>
            </w:pPr>
            <w:r w:rsidRPr="00B072DD">
              <w:t>10 h</w:t>
            </w:r>
          </w:p>
        </w:tc>
        <w:tc>
          <w:tcPr>
            <w:tcW w:w="1083" w:type="dxa"/>
            <w:vAlign w:val="center"/>
          </w:tcPr>
          <w:p w14:paraId="09EA457A" w14:textId="77777777" w:rsidR="00BE5393" w:rsidRPr="00B072DD" w:rsidRDefault="00BE5393" w:rsidP="00264E71">
            <w:pPr>
              <w:jc w:val="center"/>
            </w:pPr>
            <w:r w:rsidRPr="00B072DD">
              <w:t>5</w:t>
            </w:r>
          </w:p>
        </w:tc>
      </w:tr>
      <w:tr w:rsidR="00BE5393" w:rsidRPr="005B3E7C" w14:paraId="3C792056" w14:textId="77777777" w:rsidTr="00D8332E">
        <w:trPr>
          <w:jc w:val="center"/>
        </w:trPr>
        <w:tc>
          <w:tcPr>
            <w:tcW w:w="3539" w:type="dxa"/>
            <w:vAlign w:val="center"/>
          </w:tcPr>
          <w:p w14:paraId="4819B993" w14:textId="77777777" w:rsidR="00BE5393" w:rsidRPr="00B072DD" w:rsidRDefault="00BE5393" w:rsidP="00264E71">
            <w:pPr>
              <w:jc w:val="center"/>
            </w:pPr>
            <w:r w:rsidRPr="00B072DD">
              <w:t>Exam / test</w:t>
            </w:r>
          </w:p>
        </w:tc>
        <w:tc>
          <w:tcPr>
            <w:tcW w:w="2693" w:type="dxa"/>
            <w:vAlign w:val="center"/>
          </w:tcPr>
          <w:p w14:paraId="43FDA50F" w14:textId="2A455259" w:rsidR="00BE5393" w:rsidRPr="00B072DD" w:rsidRDefault="00BE5393" w:rsidP="00D8332E">
            <w:pPr>
              <w:jc w:val="center"/>
            </w:pPr>
            <w:r w:rsidRPr="00B072DD">
              <w:t>1 hour</w:t>
            </w:r>
          </w:p>
        </w:tc>
        <w:tc>
          <w:tcPr>
            <w:tcW w:w="1701" w:type="dxa"/>
            <w:vAlign w:val="center"/>
          </w:tcPr>
          <w:p w14:paraId="6D52C9C7" w14:textId="3E6A784B" w:rsidR="00BE5393" w:rsidRPr="00B072DD" w:rsidRDefault="00BE5393" w:rsidP="00D8332E">
            <w:pPr>
              <w:jc w:val="center"/>
            </w:pPr>
            <w:r w:rsidRPr="00B072DD">
              <w:t>10 h</w:t>
            </w:r>
          </w:p>
        </w:tc>
        <w:tc>
          <w:tcPr>
            <w:tcW w:w="1083" w:type="dxa"/>
            <w:vAlign w:val="center"/>
          </w:tcPr>
          <w:p w14:paraId="1C13BE52" w14:textId="77777777" w:rsidR="00BE5393" w:rsidRPr="00B072DD" w:rsidRDefault="00BE5393" w:rsidP="00264E71">
            <w:pPr>
              <w:jc w:val="center"/>
            </w:pPr>
            <w:r w:rsidRPr="00B072DD">
              <w:t>5</w:t>
            </w:r>
          </w:p>
        </w:tc>
      </w:tr>
      <w:tr w:rsidR="00BE5393" w:rsidRPr="005B3E7C" w14:paraId="5FE7EE30" w14:textId="77777777" w:rsidTr="00D8332E">
        <w:trPr>
          <w:jc w:val="center"/>
        </w:trPr>
        <w:tc>
          <w:tcPr>
            <w:tcW w:w="3539" w:type="dxa"/>
            <w:vAlign w:val="center"/>
          </w:tcPr>
          <w:p w14:paraId="0DDA6733" w14:textId="77777777" w:rsidR="00BE5393" w:rsidRPr="00B072DD" w:rsidRDefault="00BE5393" w:rsidP="00264E71">
            <w:pPr>
              <w:jc w:val="center"/>
            </w:pPr>
            <w:r w:rsidRPr="00B072DD">
              <w:t>Reflective journal/log</w:t>
            </w:r>
          </w:p>
        </w:tc>
        <w:tc>
          <w:tcPr>
            <w:tcW w:w="2693" w:type="dxa"/>
            <w:vAlign w:val="center"/>
          </w:tcPr>
          <w:p w14:paraId="6FCCFA99" w14:textId="2F45CE97" w:rsidR="00BE5393" w:rsidRPr="00B072DD" w:rsidRDefault="00BE5393" w:rsidP="00D8332E">
            <w:pPr>
              <w:jc w:val="center"/>
            </w:pPr>
            <w:r>
              <w:t>10</w:t>
            </w:r>
            <w:r w:rsidRPr="00B072DD">
              <w:t>00 words</w:t>
            </w:r>
          </w:p>
        </w:tc>
        <w:tc>
          <w:tcPr>
            <w:tcW w:w="1701" w:type="dxa"/>
            <w:vAlign w:val="center"/>
          </w:tcPr>
          <w:p w14:paraId="6EFF52BB" w14:textId="5F24C464" w:rsidR="00BE5393" w:rsidRPr="00B072DD" w:rsidRDefault="00BE5393" w:rsidP="00D8332E">
            <w:pPr>
              <w:jc w:val="center"/>
            </w:pPr>
            <w:r w:rsidRPr="00B072DD">
              <w:t>10 h</w:t>
            </w:r>
          </w:p>
        </w:tc>
        <w:tc>
          <w:tcPr>
            <w:tcW w:w="1083" w:type="dxa"/>
            <w:vAlign w:val="center"/>
          </w:tcPr>
          <w:p w14:paraId="5415B5AF" w14:textId="77777777" w:rsidR="00BE5393" w:rsidRPr="00B072DD" w:rsidRDefault="00BE5393" w:rsidP="00264E71">
            <w:pPr>
              <w:jc w:val="center"/>
            </w:pPr>
            <w:r w:rsidRPr="00B072DD">
              <w:t>5</w:t>
            </w:r>
          </w:p>
        </w:tc>
      </w:tr>
      <w:tr w:rsidR="00BE5393" w:rsidRPr="005B3E7C" w14:paraId="4E91ADB9" w14:textId="77777777" w:rsidTr="00D8332E">
        <w:trPr>
          <w:jc w:val="center"/>
        </w:trPr>
        <w:tc>
          <w:tcPr>
            <w:tcW w:w="3539" w:type="dxa"/>
            <w:vAlign w:val="center"/>
          </w:tcPr>
          <w:p w14:paraId="5FA98BB1" w14:textId="77777777" w:rsidR="00BE5393" w:rsidRPr="00B072DD" w:rsidRDefault="00BE5393" w:rsidP="00264E71">
            <w:pPr>
              <w:jc w:val="center"/>
            </w:pPr>
            <w:r w:rsidRPr="00B072DD">
              <w:t>Lab/practical report</w:t>
            </w:r>
          </w:p>
        </w:tc>
        <w:tc>
          <w:tcPr>
            <w:tcW w:w="2693" w:type="dxa"/>
            <w:vAlign w:val="center"/>
          </w:tcPr>
          <w:p w14:paraId="4D90F76C" w14:textId="0272803E" w:rsidR="00BE5393" w:rsidRPr="00B072DD" w:rsidRDefault="00BE5393" w:rsidP="00D8332E">
            <w:pPr>
              <w:jc w:val="center"/>
            </w:pPr>
            <w:r w:rsidRPr="00B072DD">
              <w:t>1000 words</w:t>
            </w:r>
          </w:p>
        </w:tc>
        <w:tc>
          <w:tcPr>
            <w:tcW w:w="1701" w:type="dxa"/>
            <w:vAlign w:val="center"/>
          </w:tcPr>
          <w:p w14:paraId="7A6F5AF3" w14:textId="11738C37" w:rsidR="00BE5393" w:rsidRPr="00B072DD" w:rsidRDefault="00BE5393" w:rsidP="00D8332E">
            <w:pPr>
              <w:jc w:val="center"/>
            </w:pPr>
            <w:r w:rsidRPr="00B072DD">
              <w:t>10 h</w:t>
            </w:r>
          </w:p>
        </w:tc>
        <w:tc>
          <w:tcPr>
            <w:tcW w:w="1083" w:type="dxa"/>
            <w:vAlign w:val="center"/>
          </w:tcPr>
          <w:p w14:paraId="1D011BBC" w14:textId="77777777" w:rsidR="00BE5393" w:rsidRPr="00B072DD" w:rsidRDefault="00BE5393" w:rsidP="00264E71">
            <w:pPr>
              <w:jc w:val="center"/>
            </w:pPr>
            <w:r w:rsidRPr="00B072DD">
              <w:t>5</w:t>
            </w:r>
          </w:p>
        </w:tc>
      </w:tr>
      <w:tr w:rsidR="00BE5393" w:rsidRPr="005B3E7C" w14:paraId="3190819F" w14:textId="77777777" w:rsidTr="00D8332E">
        <w:trPr>
          <w:jc w:val="center"/>
        </w:trPr>
        <w:tc>
          <w:tcPr>
            <w:tcW w:w="3539" w:type="dxa"/>
            <w:vAlign w:val="center"/>
          </w:tcPr>
          <w:p w14:paraId="45C27569" w14:textId="77777777" w:rsidR="00BE5393" w:rsidRPr="00B072DD" w:rsidRDefault="00BE5393" w:rsidP="00264E71">
            <w:pPr>
              <w:jc w:val="center"/>
            </w:pPr>
            <w:r w:rsidRPr="00B072DD">
              <w:t>Group assignment</w:t>
            </w:r>
          </w:p>
        </w:tc>
        <w:tc>
          <w:tcPr>
            <w:tcW w:w="2693" w:type="dxa"/>
            <w:vAlign w:val="center"/>
          </w:tcPr>
          <w:p w14:paraId="501F29DD" w14:textId="77777777" w:rsidR="00BE5393" w:rsidRPr="00B072DD" w:rsidRDefault="00BE5393" w:rsidP="00264E71">
            <w:pPr>
              <w:jc w:val="center"/>
            </w:pPr>
            <w:r w:rsidRPr="00B072DD">
              <w:t>750 words per member</w:t>
            </w:r>
          </w:p>
        </w:tc>
        <w:tc>
          <w:tcPr>
            <w:tcW w:w="1701" w:type="dxa"/>
            <w:vAlign w:val="center"/>
          </w:tcPr>
          <w:p w14:paraId="5695F2A1" w14:textId="77777777" w:rsidR="00BE5393" w:rsidRPr="00B072DD" w:rsidRDefault="00BE5393" w:rsidP="00264E71">
            <w:pPr>
              <w:jc w:val="center"/>
            </w:pPr>
            <w:r w:rsidRPr="00B072DD">
              <w:t>10 h</w:t>
            </w:r>
          </w:p>
        </w:tc>
        <w:tc>
          <w:tcPr>
            <w:tcW w:w="1083" w:type="dxa"/>
            <w:vAlign w:val="center"/>
          </w:tcPr>
          <w:p w14:paraId="5189E12E" w14:textId="77777777" w:rsidR="00BE5393" w:rsidRPr="00B072DD" w:rsidRDefault="00BE5393" w:rsidP="00264E71">
            <w:pPr>
              <w:jc w:val="center"/>
            </w:pPr>
            <w:r w:rsidRPr="00B072DD">
              <w:t>5</w:t>
            </w:r>
          </w:p>
        </w:tc>
      </w:tr>
      <w:tr w:rsidR="00BE5393" w:rsidRPr="005B3E7C" w14:paraId="65237586" w14:textId="77777777" w:rsidTr="00D8332E">
        <w:trPr>
          <w:jc w:val="center"/>
        </w:trPr>
        <w:tc>
          <w:tcPr>
            <w:tcW w:w="3539" w:type="dxa"/>
            <w:vAlign w:val="center"/>
          </w:tcPr>
          <w:p w14:paraId="0FC9776C" w14:textId="77777777" w:rsidR="00BE5393" w:rsidRPr="00B072DD" w:rsidRDefault="00BE5393" w:rsidP="00264E71">
            <w:pPr>
              <w:jc w:val="center"/>
            </w:pPr>
            <w:r>
              <w:t xml:space="preserve">Individual </w:t>
            </w:r>
            <w:r w:rsidRPr="00B072DD">
              <w:t>presentation</w:t>
            </w:r>
          </w:p>
        </w:tc>
        <w:tc>
          <w:tcPr>
            <w:tcW w:w="2693" w:type="dxa"/>
            <w:vAlign w:val="center"/>
          </w:tcPr>
          <w:p w14:paraId="2AE22DC8" w14:textId="29360269" w:rsidR="00BE5393" w:rsidRPr="00B072DD" w:rsidRDefault="00BE5393" w:rsidP="00D8332E">
            <w:pPr>
              <w:jc w:val="center"/>
            </w:pPr>
            <w:r w:rsidRPr="00B072DD">
              <w:t>15 minutes</w:t>
            </w:r>
          </w:p>
        </w:tc>
        <w:tc>
          <w:tcPr>
            <w:tcW w:w="1701" w:type="dxa"/>
            <w:vAlign w:val="center"/>
          </w:tcPr>
          <w:p w14:paraId="42030CB3" w14:textId="77777777" w:rsidR="00BE5393" w:rsidRPr="00B072DD" w:rsidRDefault="00BE5393" w:rsidP="00264E71">
            <w:pPr>
              <w:jc w:val="center"/>
            </w:pPr>
            <w:r w:rsidRPr="00B072DD">
              <w:t>20 h</w:t>
            </w:r>
          </w:p>
        </w:tc>
        <w:tc>
          <w:tcPr>
            <w:tcW w:w="1083" w:type="dxa"/>
            <w:vAlign w:val="center"/>
          </w:tcPr>
          <w:p w14:paraId="0A0B0DF7" w14:textId="77777777" w:rsidR="00BE5393" w:rsidRPr="00B072DD" w:rsidRDefault="00BE5393" w:rsidP="00264E71">
            <w:pPr>
              <w:jc w:val="center"/>
            </w:pPr>
            <w:r w:rsidRPr="00B072DD">
              <w:t>10</w:t>
            </w:r>
          </w:p>
        </w:tc>
      </w:tr>
      <w:tr w:rsidR="00BE5393" w:rsidRPr="005B3E7C" w14:paraId="01BE5864" w14:textId="77777777" w:rsidTr="00D8332E">
        <w:trPr>
          <w:jc w:val="center"/>
        </w:trPr>
        <w:tc>
          <w:tcPr>
            <w:tcW w:w="3539" w:type="dxa"/>
            <w:vAlign w:val="center"/>
          </w:tcPr>
          <w:p w14:paraId="1C6089BF" w14:textId="77777777" w:rsidR="00BE5393" w:rsidRPr="00B072DD" w:rsidRDefault="00BE5393" w:rsidP="00264E71">
            <w:pPr>
              <w:jc w:val="center"/>
            </w:pPr>
            <w:r w:rsidRPr="00B072DD">
              <w:t>Viva</w:t>
            </w:r>
            <w:r>
              <w:t>/oral exam</w:t>
            </w:r>
          </w:p>
        </w:tc>
        <w:tc>
          <w:tcPr>
            <w:tcW w:w="2693" w:type="dxa"/>
            <w:vAlign w:val="center"/>
          </w:tcPr>
          <w:p w14:paraId="61611308" w14:textId="39654FB5" w:rsidR="00BE5393" w:rsidRPr="00B072DD" w:rsidRDefault="00BE5393" w:rsidP="00D8332E">
            <w:pPr>
              <w:jc w:val="center"/>
            </w:pPr>
            <w:r>
              <w:t>20-</w:t>
            </w:r>
            <w:r w:rsidR="00D8332E">
              <w:t>30 minutes</w:t>
            </w:r>
          </w:p>
        </w:tc>
        <w:tc>
          <w:tcPr>
            <w:tcW w:w="1701" w:type="dxa"/>
            <w:vAlign w:val="center"/>
          </w:tcPr>
          <w:p w14:paraId="6423F82A" w14:textId="77777777" w:rsidR="00BE5393" w:rsidRPr="00B072DD" w:rsidRDefault="00BE5393" w:rsidP="00264E71">
            <w:pPr>
              <w:jc w:val="center"/>
            </w:pPr>
            <w:r w:rsidRPr="00B072DD">
              <w:t>20 h</w:t>
            </w:r>
          </w:p>
        </w:tc>
        <w:tc>
          <w:tcPr>
            <w:tcW w:w="1083" w:type="dxa"/>
            <w:vAlign w:val="center"/>
          </w:tcPr>
          <w:p w14:paraId="52F4506D" w14:textId="77777777" w:rsidR="00BE5393" w:rsidRPr="00B072DD" w:rsidRDefault="00BE5393" w:rsidP="00264E71">
            <w:pPr>
              <w:jc w:val="center"/>
            </w:pPr>
            <w:r w:rsidRPr="00B072DD">
              <w:t>10</w:t>
            </w:r>
          </w:p>
        </w:tc>
      </w:tr>
      <w:tr w:rsidR="00BE5393" w:rsidRPr="005B3E7C" w14:paraId="18EF5DDD" w14:textId="77777777" w:rsidTr="00D8332E">
        <w:trPr>
          <w:jc w:val="center"/>
        </w:trPr>
        <w:tc>
          <w:tcPr>
            <w:tcW w:w="3539" w:type="dxa"/>
            <w:vAlign w:val="center"/>
          </w:tcPr>
          <w:p w14:paraId="7E51B24A" w14:textId="77777777" w:rsidR="00BE5393" w:rsidRPr="00B072DD" w:rsidRDefault="00BE5393" w:rsidP="00264E71">
            <w:pPr>
              <w:jc w:val="center"/>
            </w:pPr>
            <w:r>
              <w:t xml:space="preserve">Small </w:t>
            </w:r>
            <w:r w:rsidRPr="00B072DD">
              <w:t>Group presentation</w:t>
            </w:r>
          </w:p>
        </w:tc>
        <w:tc>
          <w:tcPr>
            <w:tcW w:w="2693" w:type="dxa"/>
            <w:vAlign w:val="center"/>
          </w:tcPr>
          <w:p w14:paraId="1F31C968" w14:textId="77777777" w:rsidR="00BE5393" w:rsidRPr="00B072DD" w:rsidRDefault="00BE5393" w:rsidP="00264E71">
            <w:pPr>
              <w:jc w:val="center"/>
            </w:pPr>
            <w:r w:rsidRPr="00B072DD">
              <w:t>10 minutes per member</w:t>
            </w:r>
          </w:p>
        </w:tc>
        <w:tc>
          <w:tcPr>
            <w:tcW w:w="1701" w:type="dxa"/>
            <w:vAlign w:val="center"/>
          </w:tcPr>
          <w:p w14:paraId="54086363" w14:textId="77777777" w:rsidR="00BE5393" w:rsidRPr="00B072DD" w:rsidRDefault="00BE5393" w:rsidP="00264E71">
            <w:pPr>
              <w:jc w:val="center"/>
            </w:pPr>
            <w:r w:rsidRPr="00B072DD">
              <w:t>20 h</w:t>
            </w:r>
          </w:p>
        </w:tc>
        <w:tc>
          <w:tcPr>
            <w:tcW w:w="1083" w:type="dxa"/>
            <w:vAlign w:val="center"/>
          </w:tcPr>
          <w:p w14:paraId="60D9A72D" w14:textId="77777777" w:rsidR="00BE5393" w:rsidRPr="00B072DD" w:rsidRDefault="00BE5393" w:rsidP="00264E71">
            <w:pPr>
              <w:jc w:val="center"/>
            </w:pPr>
            <w:r w:rsidRPr="00B072DD">
              <w:t>10</w:t>
            </w:r>
          </w:p>
        </w:tc>
      </w:tr>
      <w:tr w:rsidR="00BE5393" w:rsidRPr="005B3E7C" w14:paraId="5295AEDD" w14:textId="77777777" w:rsidTr="00D8332E">
        <w:trPr>
          <w:jc w:val="center"/>
        </w:trPr>
        <w:tc>
          <w:tcPr>
            <w:tcW w:w="3539" w:type="dxa"/>
            <w:vAlign w:val="center"/>
          </w:tcPr>
          <w:p w14:paraId="31F0AC12" w14:textId="77777777" w:rsidR="00BE5393" w:rsidRPr="00B072DD" w:rsidRDefault="00BE5393" w:rsidP="00264E71">
            <w:pPr>
              <w:jc w:val="center"/>
            </w:pPr>
            <w:r w:rsidRPr="00B072DD">
              <w:t>Portfolio of evidence</w:t>
            </w:r>
          </w:p>
        </w:tc>
        <w:tc>
          <w:tcPr>
            <w:tcW w:w="2693" w:type="dxa"/>
            <w:vAlign w:val="center"/>
          </w:tcPr>
          <w:p w14:paraId="760693B8" w14:textId="34DED07F" w:rsidR="00BE5393" w:rsidRPr="00B072DD" w:rsidRDefault="00BE5393" w:rsidP="00D8332E">
            <w:pPr>
              <w:jc w:val="center"/>
            </w:pPr>
            <w:r w:rsidRPr="00B072DD">
              <w:t>6000 words</w:t>
            </w:r>
          </w:p>
        </w:tc>
        <w:tc>
          <w:tcPr>
            <w:tcW w:w="1701" w:type="dxa"/>
            <w:vAlign w:val="center"/>
          </w:tcPr>
          <w:p w14:paraId="755DF83F" w14:textId="77777777" w:rsidR="00BE5393" w:rsidRPr="00B072DD" w:rsidRDefault="00BE5393" w:rsidP="00264E71">
            <w:pPr>
              <w:jc w:val="center"/>
            </w:pPr>
            <w:r w:rsidRPr="00B072DD">
              <w:t>40 h</w:t>
            </w:r>
          </w:p>
        </w:tc>
        <w:tc>
          <w:tcPr>
            <w:tcW w:w="1083" w:type="dxa"/>
            <w:vAlign w:val="center"/>
          </w:tcPr>
          <w:p w14:paraId="31097336" w14:textId="77777777" w:rsidR="00BE5393" w:rsidRPr="00B072DD" w:rsidRDefault="00BE5393" w:rsidP="00264E71">
            <w:pPr>
              <w:jc w:val="center"/>
            </w:pPr>
            <w:r w:rsidRPr="00B072DD">
              <w:t>20</w:t>
            </w:r>
          </w:p>
        </w:tc>
      </w:tr>
      <w:tr w:rsidR="00BE5393" w:rsidRPr="005B3E7C" w14:paraId="68BA07E6" w14:textId="77777777" w:rsidTr="00D8332E">
        <w:trPr>
          <w:jc w:val="center"/>
        </w:trPr>
        <w:tc>
          <w:tcPr>
            <w:tcW w:w="3539" w:type="dxa"/>
            <w:vAlign w:val="center"/>
          </w:tcPr>
          <w:p w14:paraId="536242BB" w14:textId="13FD4C6F" w:rsidR="00BE5393" w:rsidRPr="00B072DD" w:rsidRDefault="00D8332E" w:rsidP="00D8332E">
            <w:pPr>
              <w:jc w:val="center"/>
            </w:pPr>
            <w:r>
              <w:t xml:space="preserve">Research proposal, </w:t>
            </w:r>
            <w:r w:rsidR="00BE5393">
              <w:t xml:space="preserve">small </w:t>
            </w:r>
            <w:r w:rsidR="00BE5393" w:rsidRPr="00B072DD">
              <w:t>project</w:t>
            </w:r>
          </w:p>
        </w:tc>
        <w:tc>
          <w:tcPr>
            <w:tcW w:w="2693" w:type="dxa"/>
            <w:vAlign w:val="center"/>
          </w:tcPr>
          <w:p w14:paraId="497C23EE" w14:textId="5FDD0176" w:rsidR="00BE5393" w:rsidRPr="00B072DD" w:rsidRDefault="00BE5393" w:rsidP="00D8332E">
            <w:pPr>
              <w:jc w:val="center"/>
            </w:pPr>
            <w:r>
              <w:t>4</w:t>
            </w:r>
            <w:r w:rsidRPr="00B072DD">
              <w:t>000 words</w:t>
            </w:r>
          </w:p>
        </w:tc>
        <w:tc>
          <w:tcPr>
            <w:tcW w:w="1701" w:type="dxa"/>
            <w:vAlign w:val="center"/>
          </w:tcPr>
          <w:p w14:paraId="3A7B49FD" w14:textId="77777777" w:rsidR="00BE5393" w:rsidRPr="00B072DD" w:rsidRDefault="00BE5393" w:rsidP="00264E71">
            <w:pPr>
              <w:jc w:val="center"/>
            </w:pPr>
            <w:r w:rsidRPr="00B072DD">
              <w:t>40 h</w:t>
            </w:r>
          </w:p>
        </w:tc>
        <w:tc>
          <w:tcPr>
            <w:tcW w:w="1083" w:type="dxa"/>
            <w:vAlign w:val="center"/>
          </w:tcPr>
          <w:p w14:paraId="26D2314C" w14:textId="77777777" w:rsidR="00BE5393" w:rsidRPr="00B072DD" w:rsidRDefault="00BE5393" w:rsidP="00264E71">
            <w:pPr>
              <w:jc w:val="center"/>
            </w:pPr>
            <w:r w:rsidRPr="00B072DD">
              <w:t>20</w:t>
            </w:r>
          </w:p>
        </w:tc>
      </w:tr>
      <w:tr w:rsidR="00BE5393" w:rsidRPr="005B3E7C" w14:paraId="4778F839" w14:textId="77777777" w:rsidTr="00D8332E">
        <w:trPr>
          <w:jc w:val="center"/>
        </w:trPr>
        <w:tc>
          <w:tcPr>
            <w:tcW w:w="3539" w:type="dxa"/>
            <w:vAlign w:val="center"/>
          </w:tcPr>
          <w:p w14:paraId="43CDF3D9" w14:textId="77777777" w:rsidR="00BE5393" w:rsidRDefault="00BE5393" w:rsidP="00264E71">
            <w:pPr>
              <w:jc w:val="center"/>
            </w:pPr>
            <w:r>
              <w:lastRenderedPageBreak/>
              <w:t>Research project/dissertation</w:t>
            </w:r>
          </w:p>
        </w:tc>
        <w:tc>
          <w:tcPr>
            <w:tcW w:w="2693" w:type="dxa"/>
            <w:vAlign w:val="center"/>
          </w:tcPr>
          <w:p w14:paraId="4F1097E2" w14:textId="77777777" w:rsidR="00BE5393" w:rsidRDefault="00BE5393" w:rsidP="00264E71">
            <w:pPr>
              <w:jc w:val="center"/>
            </w:pPr>
            <w:r>
              <w:t>8000 words</w:t>
            </w:r>
          </w:p>
        </w:tc>
        <w:tc>
          <w:tcPr>
            <w:tcW w:w="1701" w:type="dxa"/>
            <w:vAlign w:val="center"/>
          </w:tcPr>
          <w:p w14:paraId="4A9FA0F4" w14:textId="77777777" w:rsidR="00BE5393" w:rsidRPr="00B072DD" w:rsidRDefault="00BE5393" w:rsidP="00264E71">
            <w:pPr>
              <w:jc w:val="center"/>
            </w:pPr>
            <w:r>
              <w:t>80 h</w:t>
            </w:r>
          </w:p>
        </w:tc>
        <w:tc>
          <w:tcPr>
            <w:tcW w:w="1083" w:type="dxa"/>
            <w:vAlign w:val="center"/>
          </w:tcPr>
          <w:p w14:paraId="20D932A7" w14:textId="2DA3408B" w:rsidR="00BE5393" w:rsidRPr="00B072DD" w:rsidRDefault="00BE5393" w:rsidP="00D8332E">
            <w:pPr>
              <w:jc w:val="center"/>
            </w:pPr>
            <w:r>
              <w:t>40</w:t>
            </w:r>
          </w:p>
        </w:tc>
      </w:tr>
    </w:tbl>
    <w:p w14:paraId="06D78E75" w14:textId="492C0221" w:rsidR="00BE5393" w:rsidRDefault="00BE5393" w:rsidP="00BE5393">
      <w:r>
        <w:t>Note: w</w:t>
      </w:r>
      <w:r w:rsidRPr="005B3E7C">
        <w:t xml:space="preserve">here there is more than one </w:t>
      </w:r>
      <w:r w:rsidR="003B4C0E">
        <w:t>item</w:t>
      </w:r>
      <w:r w:rsidRPr="005B3E7C">
        <w:t xml:space="preserve"> of assessment per module, the </w:t>
      </w:r>
      <w:r>
        <w:t xml:space="preserve">assessment </w:t>
      </w:r>
      <w:r w:rsidRPr="005B3E7C">
        <w:t>workloa</w:t>
      </w:r>
      <w:r>
        <w:t xml:space="preserve">d will be divided between </w:t>
      </w:r>
      <w:r w:rsidR="003B4C0E">
        <w:t>items</w:t>
      </w:r>
      <w:r>
        <w:t>, for example:</w:t>
      </w:r>
    </w:p>
    <w:p w14:paraId="1680D9A0" w14:textId="41C8CDD9" w:rsidR="00BE5393" w:rsidRPr="005B3E7C" w:rsidRDefault="003B4C0E" w:rsidP="00BE5393">
      <w:r>
        <w:t>Item</w:t>
      </w:r>
      <w:r w:rsidR="00BE5393">
        <w:t xml:space="preserve"> 1: 2 hour exam (measures LO 1&amp;2), </w:t>
      </w:r>
      <w:r>
        <w:t>item</w:t>
      </w:r>
      <w:r w:rsidR="00BE5393">
        <w:t xml:space="preserve"> 2: 2000 word essay (measures LO 3&amp;4) for 20 credits.</w:t>
      </w:r>
    </w:p>
    <w:p w14:paraId="68298EA9" w14:textId="6E66CAA7" w:rsidR="00BE5393" w:rsidRDefault="00BE5393" w:rsidP="00BE5393">
      <w:r>
        <w:t>In relation to a staged/cumulative assessment w</w:t>
      </w:r>
      <w:r w:rsidRPr="005B3E7C">
        <w:t xml:space="preserve">here there is more than one assessment </w:t>
      </w:r>
      <w:r w:rsidR="003B4C0E">
        <w:t xml:space="preserve">task </w:t>
      </w:r>
      <w:r w:rsidRPr="005B3E7C">
        <w:t xml:space="preserve">within a single assessment </w:t>
      </w:r>
      <w:r w:rsidR="003B4C0E">
        <w:t>item</w:t>
      </w:r>
      <w:r w:rsidRPr="005B3E7C">
        <w:t xml:space="preserve">, the </w:t>
      </w:r>
      <w:r>
        <w:t xml:space="preserve">assessment </w:t>
      </w:r>
      <w:r w:rsidRPr="005B3E7C">
        <w:t xml:space="preserve">workload will be divided across </w:t>
      </w:r>
      <w:r>
        <w:t xml:space="preserve">the multiple </w:t>
      </w:r>
      <w:r w:rsidR="003B4C0E">
        <w:t>tasks</w:t>
      </w:r>
      <w:r>
        <w:t>, for example:</w:t>
      </w:r>
    </w:p>
    <w:p w14:paraId="1D52EACC" w14:textId="1EB24670" w:rsidR="00BE5393" w:rsidRDefault="003B4C0E" w:rsidP="00BE5393">
      <w:r>
        <w:t>Item</w:t>
      </w:r>
      <w:r w:rsidR="00BE5393">
        <w:t xml:space="preserve"> 1: staged assessment comprising 3 </w:t>
      </w:r>
      <w:r>
        <w:t>tasks</w:t>
      </w:r>
      <w:r w:rsidR="00BE5393">
        <w:t xml:space="preserve"> (100%) for 20 credits.</w:t>
      </w:r>
    </w:p>
    <w:p w14:paraId="11066230" w14:textId="77777777" w:rsidR="00BE5393" w:rsidRDefault="00BE5393" w:rsidP="00BE5393">
      <w:pPr>
        <w:pStyle w:val="ListParagraph"/>
        <w:numPr>
          <w:ilvl w:val="1"/>
          <w:numId w:val="1"/>
        </w:numPr>
      </w:pPr>
      <w:r>
        <w:t>1 hour class test (foundation knowledge before placement)</w:t>
      </w:r>
    </w:p>
    <w:p w14:paraId="3CF18941" w14:textId="49C37D4E" w:rsidR="00BE5393" w:rsidRDefault="003B4C0E" w:rsidP="00BE5393">
      <w:pPr>
        <w:pStyle w:val="ListParagraph"/>
        <w:numPr>
          <w:ilvl w:val="1"/>
          <w:numId w:val="1"/>
        </w:numPr>
      </w:pPr>
      <w:r>
        <w:t>1</w:t>
      </w:r>
      <w:r w:rsidR="00BE5393">
        <w:t>000 word reflective log (reflections of placement experience)</w:t>
      </w:r>
    </w:p>
    <w:p w14:paraId="192B56D6" w14:textId="77777777" w:rsidR="00BE5393" w:rsidRDefault="00BE5393" w:rsidP="00BE5393">
      <w:pPr>
        <w:pStyle w:val="ListParagraph"/>
        <w:numPr>
          <w:ilvl w:val="1"/>
          <w:numId w:val="1"/>
        </w:numPr>
      </w:pPr>
      <w:r>
        <w:t>30 minute viva (synthesis of experience and application of theory to practice)</w:t>
      </w:r>
    </w:p>
    <w:p w14:paraId="2EAF0983" w14:textId="7832B577" w:rsidR="00BE5393" w:rsidRDefault="00BE5393" w:rsidP="00BE5393">
      <w:pPr>
        <w:jc w:val="right"/>
      </w:pPr>
      <w:r>
        <w:t>(</w:t>
      </w:r>
      <w:r w:rsidRPr="00613389">
        <w:rPr>
          <w:i/>
        </w:rPr>
        <w:t xml:space="preserve">3 </w:t>
      </w:r>
      <w:r w:rsidR="004C6BA8">
        <w:rPr>
          <w:i/>
        </w:rPr>
        <w:t>tasks</w:t>
      </w:r>
      <w:r w:rsidRPr="00613389">
        <w:rPr>
          <w:i/>
        </w:rPr>
        <w:t xml:space="preserve"> are interrelated to measure all LO</w:t>
      </w:r>
      <w:r>
        <w:t xml:space="preserve">) </w:t>
      </w:r>
    </w:p>
    <w:p w14:paraId="0C0CC228" w14:textId="6B87898F" w:rsidR="00BE5393" w:rsidRPr="002F1B00" w:rsidRDefault="00BE5393" w:rsidP="00BE5393">
      <w:pPr>
        <w:rPr>
          <w:b/>
        </w:rPr>
      </w:pPr>
      <w:r>
        <w:rPr>
          <w:b/>
        </w:rPr>
        <w:t xml:space="preserve">* </w:t>
      </w:r>
      <w:r w:rsidRPr="00230E10">
        <w:rPr>
          <w:b/>
        </w:rPr>
        <w:t xml:space="preserve">Further guidance on assessment </w:t>
      </w:r>
      <w:r w:rsidR="003B4C0E">
        <w:rPr>
          <w:b/>
        </w:rPr>
        <w:t>items</w:t>
      </w:r>
      <w:r w:rsidR="0050305D">
        <w:rPr>
          <w:b/>
        </w:rPr>
        <w:t xml:space="preserve"> and </w:t>
      </w:r>
      <w:r w:rsidR="003B4C0E">
        <w:rPr>
          <w:b/>
        </w:rPr>
        <w:t>tasks</w:t>
      </w:r>
      <w:r w:rsidRPr="00230E10">
        <w:rPr>
          <w:b/>
        </w:rPr>
        <w:t>:</w:t>
      </w:r>
    </w:p>
    <w:p w14:paraId="60812AA8" w14:textId="46C5F8EF" w:rsidR="00BE5393" w:rsidRPr="00A8364E" w:rsidRDefault="00BE5393" w:rsidP="00BE5393">
      <w:pPr>
        <w:rPr>
          <w:b/>
        </w:rPr>
      </w:pPr>
      <w:r w:rsidRPr="00230E10">
        <w:rPr>
          <w:b/>
        </w:rPr>
        <w:t xml:space="preserve">Assessment </w:t>
      </w:r>
      <w:r w:rsidR="003B4C0E">
        <w:rPr>
          <w:b/>
        </w:rPr>
        <w:t>Items</w:t>
      </w:r>
    </w:p>
    <w:p w14:paraId="564E5CBA" w14:textId="550B976E" w:rsidR="00BE5393" w:rsidRPr="00A8364E" w:rsidRDefault="00BE5393" w:rsidP="00BE5393">
      <w:r w:rsidRPr="00230E10">
        <w:t xml:space="preserve">Different </w:t>
      </w:r>
      <w:r w:rsidR="003B4C0E">
        <w:t>items</w:t>
      </w:r>
      <w:r w:rsidRPr="00230E10">
        <w:t xml:space="preserve"> of assessment measure different learning outcomes within a module. As a general rule of thumb, a single learning outcome should not be double-assessed however, you may wish to triangulate student</w:t>
      </w:r>
      <w:r w:rsidR="0037601A">
        <w:t>s’</w:t>
      </w:r>
      <w:r w:rsidRPr="00230E10">
        <w:t xml:space="preserve"> performance across two assessment methods if there are both cognitive and practical components within one learning outcome. This may also be a professional body requirement.</w:t>
      </w:r>
    </w:p>
    <w:p w14:paraId="1748226A" w14:textId="759DB0AE" w:rsidR="00BE5393" w:rsidRPr="00A8364E" w:rsidRDefault="00BE5393" w:rsidP="00BE5393">
      <w:pPr>
        <w:rPr>
          <w:b/>
        </w:rPr>
      </w:pPr>
      <w:r w:rsidRPr="00230E10">
        <w:rPr>
          <w:b/>
        </w:rPr>
        <w:t>Assessment</w:t>
      </w:r>
      <w:r w:rsidR="0087247A">
        <w:rPr>
          <w:b/>
        </w:rPr>
        <w:t xml:space="preserve"> </w:t>
      </w:r>
      <w:r w:rsidR="003B4C0E">
        <w:rPr>
          <w:b/>
        </w:rPr>
        <w:t>Tasks</w:t>
      </w:r>
    </w:p>
    <w:p w14:paraId="455D03FD" w14:textId="3C7932AC" w:rsidR="00BE5393" w:rsidRDefault="00BE5393" w:rsidP="00BE5393">
      <w:r w:rsidRPr="00230E10">
        <w:t xml:space="preserve">One </w:t>
      </w:r>
      <w:r w:rsidR="004C6BA8">
        <w:t>item</w:t>
      </w:r>
      <w:r w:rsidRPr="00230E10">
        <w:t xml:space="preserve"> of assessment can be broken down into </w:t>
      </w:r>
      <w:r>
        <w:t xml:space="preserve">smaller </w:t>
      </w:r>
      <w:r w:rsidRPr="00230E10">
        <w:t xml:space="preserve">staged/cumulative </w:t>
      </w:r>
      <w:r w:rsidR="003B4C0E">
        <w:t>tasks (</w:t>
      </w:r>
      <w:r>
        <w:t>deliverables</w:t>
      </w:r>
      <w:r w:rsidRPr="00230E10">
        <w:t xml:space="preserve">) as long as the </w:t>
      </w:r>
      <w:r w:rsidR="003B4C0E">
        <w:t>tasks</w:t>
      </w:r>
      <w:r w:rsidRPr="00230E10">
        <w:t xml:space="preserve"> are </w:t>
      </w:r>
      <w:r w:rsidR="003B4C0E">
        <w:t>complementary</w:t>
      </w:r>
      <w:r w:rsidRPr="00230E10">
        <w:t xml:space="preserve"> and ultimately stitch together to me</w:t>
      </w:r>
      <w:r w:rsidR="0037601A">
        <w:t>asure the same learning outcomes</w:t>
      </w:r>
      <w:r w:rsidRPr="00230E10">
        <w:t>.</w:t>
      </w:r>
      <w:r w:rsidR="003B4C0E">
        <w:t xml:space="preserve"> A </w:t>
      </w:r>
      <w:hyperlink r:id="rId7" w:history="1">
        <w:r w:rsidR="003B4C0E" w:rsidRPr="000F3FF3">
          <w:rPr>
            <w:rStyle w:val="Hyperlink"/>
          </w:rPr>
          <w:t>patchwork text</w:t>
        </w:r>
      </w:hyperlink>
      <w:r w:rsidR="003B4C0E">
        <w:t xml:space="preserve"> assessment is a good example.</w:t>
      </w:r>
      <w:r w:rsidRPr="00230E10">
        <w:t xml:space="preserve"> A staged approach can allow the assessment workload to be distributed over the semester or year</w:t>
      </w:r>
      <w:r>
        <w:t xml:space="preserve"> and can enable timely feedback </w:t>
      </w:r>
      <w:r w:rsidR="003B4C0E">
        <w:t>between each task</w:t>
      </w:r>
      <w:r w:rsidRPr="00230E10">
        <w:t>.</w:t>
      </w:r>
      <w:r>
        <w:t xml:space="preserve"> </w:t>
      </w:r>
      <w:r w:rsidR="000F3FF3">
        <w:t>This formative feedback could also be generated by students as a peer review exercise, helping them to appraise their own work.</w:t>
      </w:r>
    </w:p>
    <w:p w14:paraId="32C01BC1" w14:textId="1518AA26" w:rsidR="00D8332E" w:rsidRDefault="00D8332E" w:rsidP="00BE5393"/>
    <w:p w14:paraId="6E442EEC" w14:textId="48C8F9A3" w:rsidR="00D8332E" w:rsidRDefault="00D8332E" w:rsidP="00BE5393"/>
    <w:p w14:paraId="611DBD40" w14:textId="4CF234B0" w:rsidR="00D8332E" w:rsidRDefault="00D8332E" w:rsidP="00BE5393"/>
    <w:p w14:paraId="02DC281F" w14:textId="52FBDB1E" w:rsidR="00D8332E" w:rsidRDefault="00D8332E" w:rsidP="00BE5393"/>
    <w:p w14:paraId="2311EE09" w14:textId="01E59B7A" w:rsidR="00D8332E" w:rsidRDefault="00D8332E" w:rsidP="00BE5393"/>
    <w:p w14:paraId="608A4061" w14:textId="32D4B7C3" w:rsidR="00D8332E" w:rsidRDefault="00D8332E" w:rsidP="00BE5393"/>
    <w:p w14:paraId="259A7B40" w14:textId="3276FDB3" w:rsidR="00D8332E" w:rsidRDefault="00D8332E" w:rsidP="00BE5393"/>
    <w:p w14:paraId="19EF7F64" w14:textId="13F6DE1F" w:rsidR="00D8332E" w:rsidRDefault="00D8332E" w:rsidP="00BE5393"/>
    <w:p w14:paraId="00B406FC" w14:textId="157C9C1C" w:rsidR="00D8332E" w:rsidRDefault="00D8332E" w:rsidP="00BE5393"/>
    <w:p w14:paraId="687D983E" w14:textId="35465F19" w:rsidR="00D8332E" w:rsidRDefault="00D8332E" w:rsidP="00BE5393"/>
    <w:p w14:paraId="67BB18B2" w14:textId="0FAF63F8" w:rsidR="00D8332E" w:rsidRDefault="00D8332E" w:rsidP="00BE5393"/>
    <w:p w14:paraId="569AEBDF" w14:textId="1057AE7E" w:rsidR="00D8332E" w:rsidRDefault="00D8332E" w:rsidP="00BE5393"/>
    <w:p w14:paraId="0ECDE182" w14:textId="0B50E184" w:rsidR="00D8332E" w:rsidRDefault="00D8332E" w:rsidP="00BE5393"/>
    <w:p w14:paraId="3BB7DA8A" w14:textId="77777777" w:rsidR="00D8332E" w:rsidRDefault="00D8332E" w:rsidP="00BE5393"/>
    <w:p w14:paraId="1C6EE5B1" w14:textId="5A41459E" w:rsidR="00BE5393" w:rsidRDefault="00D8332E" w:rsidP="00BE5393">
      <w:r>
        <w:t>Suggested guidelines follow</w:t>
      </w:r>
      <w:r w:rsidRPr="00A8364E">
        <w:t xml:space="preserve"> a review of assessment </w:t>
      </w:r>
      <w:r>
        <w:t>tariffs from across the sector and have been influenced by:</w:t>
      </w:r>
    </w:p>
    <w:p w14:paraId="59C671A9" w14:textId="77777777" w:rsidR="00BE5393" w:rsidRPr="00A8364E" w:rsidRDefault="00BE5393" w:rsidP="00BE5393">
      <w:proofErr w:type="spellStart"/>
      <w:r>
        <w:t>Bloxham</w:t>
      </w:r>
      <w:proofErr w:type="spellEnd"/>
      <w:r>
        <w:t xml:space="preserve">, S and Boyd, P., 2007. </w:t>
      </w:r>
      <w:r w:rsidRPr="00097E28">
        <w:rPr>
          <w:i/>
        </w:rPr>
        <w:t>Developing Effective Assessment in Higher Education: a practical guide</w:t>
      </w:r>
      <w:r>
        <w:t>, England: Open University Press.</w:t>
      </w:r>
    </w:p>
    <w:p w14:paraId="5173A118" w14:textId="07BA37D2" w:rsidR="00BE352E" w:rsidRDefault="00BE5393">
      <w:r>
        <w:t xml:space="preserve">Galvin, A; Noonan, E and O’Neill, G., 2012. </w:t>
      </w:r>
      <w:r w:rsidRPr="00825C56">
        <w:rPr>
          <w:i/>
        </w:rPr>
        <w:t>Assessment: Assessment workload and equivalences</w:t>
      </w:r>
      <w:r>
        <w:t>. UCD Teaching and Learning Resources. Available at:</w:t>
      </w:r>
      <w:r w:rsidRPr="00825C56">
        <w:t xml:space="preserve"> </w:t>
      </w:r>
      <w:hyperlink r:id="rId8" w:history="1">
        <w:r w:rsidRPr="002206AD">
          <w:rPr>
            <w:rStyle w:val="Hyperlink"/>
          </w:rPr>
          <w:t>https://www.plymouth.ac.uk/uploads/production/document/path/2/2529/UCD_workload_and_eqivalences.pdf</w:t>
        </w:r>
      </w:hyperlink>
      <w:r>
        <w:t xml:space="preserve">  (Accessed 30.11.17)</w:t>
      </w:r>
    </w:p>
    <w:sectPr w:rsidR="00BE352E" w:rsidSect="0069561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2FE34" w14:textId="77777777" w:rsidR="00EF08AA" w:rsidRDefault="00EF08AA" w:rsidP="00BE5393">
      <w:pPr>
        <w:spacing w:after="0" w:line="240" w:lineRule="auto"/>
      </w:pPr>
      <w:r>
        <w:separator/>
      </w:r>
    </w:p>
  </w:endnote>
  <w:endnote w:type="continuationSeparator" w:id="0">
    <w:p w14:paraId="0D33254E" w14:textId="77777777" w:rsidR="00EF08AA" w:rsidRDefault="00EF08AA" w:rsidP="00BE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4BF06" w14:textId="77777777" w:rsidR="00BE5393" w:rsidRDefault="00BE5393">
    <w:pPr>
      <w:pStyle w:val="Footer"/>
    </w:pPr>
    <w:r>
      <w:t>CHERP, 2018</w:t>
    </w:r>
  </w:p>
  <w:p w14:paraId="30711AB4" w14:textId="77777777" w:rsidR="00F5105F" w:rsidRDefault="009A0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79FED" w14:textId="77777777" w:rsidR="00EF08AA" w:rsidRDefault="00EF08AA" w:rsidP="00BE5393">
      <w:pPr>
        <w:spacing w:after="0" w:line="240" w:lineRule="auto"/>
      </w:pPr>
      <w:r>
        <w:separator/>
      </w:r>
    </w:p>
  </w:footnote>
  <w:footnote w:type="continuationSeparator" w:id="0">
    <w:p w14:paraId="12D968CE" w14:textId="77777777" w:rsidR="00EF08AA" w:rsidRDefault="00EF08AA" w:rsidP="00BE5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ED195" w14:textId="77777777" w:rsidR="00BE5393" w:rsidRDefault="00041035" w:rsidP="00041035">
    <w:pPr>
      <w:pStyle w:val="Header"/>
      <w:jc w:val="right"/>
    </w:pPr>
    <w:r>
      <w:rPr>
        <w:noProof/>
        <w:lang w:eastAsia="en-GB"/>
      </w:rPr>
      <w:drawing>
        <wp:inline distT="0" distB="0" distL="0" distR="0" wp14:anchorId="56C70C57" wp14:editId="2D314690">
          <wp:extent cx="1217365" cy="57042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u.jpg"/>
                  <pic:cNvPicPr/>
                </pic:nvPicPr>
                <pic:blipFill rotWithShape="1">
                  <a:blip r:embed="rId1">
                    <a:extLst>
                      <a:ext uri="{28A0092B-C50C-407E-A947-70E740481C1C}">
                        <a14:useLocalDpi xmlns:a14="http://schemas.microsoft.com/office/drawing/2010/main" val="0"/>
                      </a:ext>
                    </a:extLst>
                  </a:blip>
                  <a:srcRect t="14655" b="14655"/>
                  <a:stretch/>
                </pic:blipFill>
                <pic:spPr bwMode="auto">
                  <a:xfrm>
                    <a:off x="0" y="0"/>
                    <a:ext cx="1243946" cy="582877"/>
                  </a:xfrm>
                  <a:prstGeom prst="rect">
                    <a:avLst/>
                  </a:prstGeom>
                  <a:ln>
                    <a:noFill/>
                  </a:ln>
                  <a:extLst>
                    <a:ext uri="{53640926-AAD7-44D8-BBD7-CCE9431645EC}">
                      <a14:shadowObscured xmlns:a14="http://schemas.microsoft.com/office/drawing/2010/main"/>
                    </a:ext>
                  </a:extLst>
                </pic:spPr>
              </pic:pic>
            </a:graphicData>
          </a:graphic>
        </wp:inline>
      </w:drawing>
    </w:r>
  </w:p>
  <w:p w14:paraId="450B0C48" w14:textId="77777777" w:rsidR="00BE5393" w:rsidRDefault="00BE5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96D22"/>
    <w:multiLevelType w:val="hybridMultilevel"/>
    <w:tmpl w:val="EA00BF9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4DB6074E"/>
    <w:multiLevelType w:val="hybridMultilevel"/>
    <w:tmpl w:val="39361952"/>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393"/>
    <w:rsid w:val="00041035"/>
    <w:rsid w:val="000F3FF3"/>
    <w:rsid w:val="00121641"/>
    <w:rsid w:val="0014095C"/>
    <w:rsid w:val="0037601A"/>
    <w:rsid w:val="003B4C0E"/>
    <w:rsid w:val="004C6BA8"/>
    <w:rsid w:val="0050305D"/>
    <w:rsid w:val="005F4EA6"/>
    <w:rsid w:val="0087247A"/>
    <w:rsid w:val="008B1C28"/>
    <w:rsid w:val="009A06B7"/>
    <w:rsid w:val="009B66FB"/>
    <w:rsid w:val="009E3602"/>
    <w:rsid w:val="00AF027E"/>
    <w:rsid w:val="00BE5393"/>
    <w:rsid w:val="00D45434"/>
    <w:rsid w:val="00D8332E"/>
    <w:rsid w:val="00D90C97"/>
    <w:rsid w:val="00E10C84"/>
    <w:rsid w:val="00EF08AA"/>
    <w:rsid w:val="00F5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D2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93"/>
    <w:pPr>
      <w:spacing w:after="160" w:line="259" w:lineRule="auto"/>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393"/>
    <w:pPr>
      <w:ind w:left="720"/>
      <w:contextualSpacing/>
    </w:pPr>
  </w:style>
  <w:style w:type="table" w:styleId="TableGrid">
    <w:name w:val="Table Grid"/>
    <w:basedOn w:val="TableNormal"/>
    <w:uiPriority w:val="39"/>
    <w:rsid w:val="00BE5393"/>
    <w:rPr>
      <w:rFonts w:ascii="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5393"/>
    <w:rPr>
      <w:color w:val="0563C1" w:themeColor="hyperlink"/>
      <w:u w:val="single"/>
    </w:rPr>
  </w:style>
  <w:style w:type="paragraph" w:styleId="Footer">
    <w:name w:val="footer"/>
    <w:basedOn w:val="Normal"/>
    <w:link w:val="FooterChar"/>
    <w:uiPriority w:val="99"/>
    <w:unhideWhenUsed/>
    <w:rsid w:val="00BE5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393"/>
    <w:rPr>
      <w:rFonts w:ascii="Arial" w:hAnsi="Arial" w:cs="Arial"/>
      <w:sz w:val="22"/>
      <w:szCs w:val="22"/>
      <w:lang w:val="en-GB"/>
    </w:rPr>
  </w:style>
  <w:style w:type="paragraph" w:styleId="Header">
    <w:name w:val="header"/>
    <w:basedOn w:val="Normal"/>
    <w:link w:val="HeaderChar"/>
    <w:uiPriority w:val="99"/>
    <w:unhideWhenUsed/>
    <w:rsid w:val="00BE5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393"/>
    <w:rPr>
      <w:rFonts w:ascii="Arial" w:hAnsi="Arial" w:cs="Arial"/>
      <w:sz w:val="22"/>
      <w:szCs w:val="22"/>
      <w:lang w:val="en-GB"/>
    </w:rPr>
  </w:style>
  <w:style w:type="paragraph" w:styleId="BalloonText">
    <w:name w:val="Balloon Text"/>
    <w:basedOn w:val="Normal"/>
    <w:link w:val="BalloonTextChar"/>
    <w:uiPriority w:val="99"/>
    <w:semiHidden/>
    <w:unhideWhenUsed/>
    <w:rsid w:val="00D8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32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ymouth.ac.uk/uploads/production/document/path/2/2529/UCD_workload_and_eqivalences.pdf" TargetMode="External"/><Relationship Id="rId3" Type="http://schemas.openxmlformats.org/officeDocument/2006/relationships/settings" Target="settings.xml"/><Relationship Id="rId7" Type="http://schemas.openxmlformats.org/officeDocument/2006/relationships/hyperlink" Target="http://www.richardwinter.net/node/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Bartholomew</dc:creator>
  <cp:keywords/>
  <dc:description/>
  <cp:lastModifiedBy>Hamill, Laura</cp:lastModifiedBy>
  <cp:revision>2</cp:revision>
  <cp:lastPrinted>2018-03-15T09:49:00Z</cp:lastPrinted>
  <dcterms:created xsi:type="dcterms:W3CDTF">2018-07-26T15:28:00Z</dcterms:created>
  <dcterms:modified xsi:type="dcterms:W3CDTF">2018-07-26T15:28:00Z</dcterms:modified>
</cp:coreProperties>
</file>