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D918" w14:textId="2A85E9B3" w:rsidR="0022543F" w:rsidRPr="00E73E05" w:rsidRDefault="00977490" w:rsidP="000F161B">
      <w:pPr>
        <w:ind w:left="-142" w:right="-1"/>
        <w:jc w:val="center"/>
        <w:rPr>
          <w:rFonts w:ascii="Arial" w:eastAsia="Times New Roman" w:hAnsi="Arial" w:cs="Arial"/>
          <w:b/>
          <w:sz w:val="22"/>
          <w:szCs w:val="22"/>
        </w:rPr>
      </w:pPr>
      <w:r w:rsidRPr="00E73E05">
        <w:rPr>
          <w:rFonts w:ascii="Arial" w:eastAsia="Times New Roman" w:hAnsi="Arial" w:cs="Arial"/>
          <w:b/>
          <w:sz w:val="22"/>
          <w:szCs w:val="22"/>
        </w:rPr>
        <w:t>PARTNERSHIP</w:t>
      </w:r>
      <w:r w:rsidR="0022543F" w:rsidRPr="00E73E05">
        <w:rPr>
          <w:rFonts w:ascii="Arial" w:eastAsia="Times New Roman" w:hAnsi="Arial" w:cs="Arial"/>
          <w:b/>
          <w:sz w:val="22"/>
          <w:szCs w:val="22"/>
        </w:rPr>
        <w:t xml:space="preserve"> HANDBOOK</w:t>
      </w:r>
    </w:p>
    <w:p w14:paraId="097519E0" w14:textId="77777777" w:rsidR="00F35D89" w:rsidRPr="00E73E05" w:rsidRDefault="00F35D89" w:rsidP="00364781">
      <w:pPr>
        <w:ind w:right="-1"/>
        <w:jc w:val="both"/>
        <w:rPr>
          <w:rFonts w:ascii="Arial" w:eastAsia="Times New Roman" w:hAnsi="Arial" w:cs="Arial"/>
          <w:sz w:val="22"/>
          <w:szCs w:val="22"/>
        </w:rPr>
      </w:pPr>
    </w:p>
    <w:p w14:paraId="1F8DDAB0" w14:textId="49A1343B" w:rsidR="0022543F" w:rsidRPr="00E73E05" w:rsidRDefault="001D6CE2" w:rsidP="000F161B">
      <w:pPr>
        <w:ind w:left="-142" w:right="-1"/>
        <w:jc w:val="both"/>
        <w:rPr>
          <w:rFonts w:ascii="Arial" w:eastAsia="Times New Roman" w:hAnsi="Arial" w:cs="Arial"/>
          <w:sz w:val="22"/>
          <w:szCs w:val="22"/>
        </w:rPr>
      </w:pPr>
      <w:r w:rsidRPr="00E73E05">
        <w:rPr>
          <w:rFonts w:ascii="Arial" w:eastAsia="Times New Roman" w:hAnsi="Arial" w:cs="Arial"/>
          <w:sz w:val="22"/>
          <w:szCs w:val="22"/>
        </w:rPr>
        <w:t>Key c</w:t>
      </w:r>
      <w:r w:rsidR="0022543F" w:rsidRPr="00E73E05">
        <w:rPr>
          <w:rFonts w:ascii="Arial" w:eastAsia="Times New Roman" w:hAnsi="Arial" w:cs="Arial"/>
          <w:sz w:val="22"/>
          <w:szCs w:val="22"/>
        </w:rPr>
        <w:t>hanges made</w:t>
      </w:r>
      <w:r w:rsidR="000F161B" w:rsidRPr="00E73E05">
        <w:rPr>
          <w:rFonts w:ascii="Arial" w:eastAsia="Times New Roman" w:hAnsi="Arial" w:cs="Arial"/>
          <w:sz w:val="22"/>
          <w:szCs w:val="22"/>
        </w:rPr>
        <w:t xml:space="preserve"> to the handbook since July</w:t>
      </w:r>
      <w:r w:rsidR="00CA064D" w:rsidRPr="00E73E05">
        <w:rPr>
          <w:rFonts w:ascii="Arial" w:eastAsia="Times New Roman" w:hAnsi="Arial" w:cs="Arial"/>
          <w:sz w:val="22"/>
          <w:szCs w:val="22"/>
        </w:rPr>
        <w:t>/August</w:t>
      </w:r>
      <w:r w:rsidR="000F161B" w:rsidRPr="00E73E05">
        <w:rPr>
          <w:rFonts w:ascii="Arial" w:eastAsia="Times New Roman" w:hAnsi="Arial" w:cs="Arial"/>
          <w:sz w:val="22"/>
          <w:szCs w:val="22"/>
        </w:rPr>
        <w:t xml:space="preserve"> 2018</w:t>
      </w:r>
      <w:r w:rsidR="00083BB1" w:rsidRPr="00E73E05">
        <w:rPr>
          <w:rFonts w:ascii="Arial" w:eastAsia="Times New Roman" w:hAnsi="Arial" w:cs="Arial"/>
          <w:sz w:val="22"/>
          <w:szCs w:val="22"/>
        </w:rPr>
        <w:t>.</w:t>
      </w:r>
    </w:p>
    <w:p w14:paraId="59B272AB" w14:textId="77777777" w:rsidR="000F161B" w:rsidRPr="00E73E05" w:rsidRDefault="000F161B" w:rsidP="000F161B">
      <w:pPr>
        <w:ind w:left="-142" w:right="-1"/>
        <w:jc w:val="both"/>
        <w:rPr>
          <w:rFonts w:ascii="Arial" w:eastAsia="Times New Roman" w:hAnsi="Arial" w:cs="Arial"/>
          <w:sz w:val="22"/>
          <w:szCs w:val="22"/>
        </w:rPr>
      </w:pPr>
    </w:p>
    <w:p w14:paraId="22A37053" w14:textId="2A33292D" w:rsidR="00F35D89" w:rsidRPr="00E73E05" w:rsidRDefault="0022543F" w:rsidP="007B2151">
      <w:pPr>
        <w:ind w:left="-142" w:right="-1"/>
        <w:jc w:val="both"/>
        <w:rPr>
          <w:rFonts w:ascii="Arial" w:eastAsia="Times New Roman" w:hAnsi="Arial" w:cs="Arial"/>
          <w:sz w:val="22"/>
          <w:szCs w:val="22"/>
        </w:rPr>
      </w:pPr>
      <w:r w:rsidRPr="00E73E05">
        <w:rPr>
          <w:rFonts w:ascii="Arial" w:eastAsia="Times New Roman" w:hAnsi="Arial" w:cs="Arial"/>
          <w:sz w:val="22"/>
          <w:szCs w:val="22"/>
        </w:rPr>
        <w:t>The revisions</w:t>
      </w:r>
      <w:r w:rsidR="000F161B" w:rsidRPr="00E73E05">
        <w:rPr>
          <w:rFonts w:ascii="Arial" w:eastAsia="Times New Roman" w:hAnsi="Arial" w:cs="Arial"/>
          <w:sz w:val="22"/>
          <w:szCs w:val="22"/>
        </w:rPr>
        <w:t xml:space="preserve"> </w:t>
      </w:r>
      <w:r w:rsidR="00CA064D" w:rsidRPr="00E73E05">
        <w:rPr>
          <w:rFonts w:ascii="Arial" w:eastAsia="Times New Roman" w:hAnsi="Arial" w:cs="Arial"/>
          <w:sz w:val="22"/>
          <w:szCs w:val="22"/>
        </w:rPr>
        <w:t>relate</w:t>
      </w:r>
      <w:r w:rsidRPr="00E73E05">
        <w:rPr>
          <w:rFonts w:ascii="Arial" w:eastAsia="Times New Roman" w:hAnsi="Arial" w:cs="Arial"/>
          <w:sz w:val="22"/>
          <w:szCs w:val="22"/>
        </w:rPr>
        <w:t xml:space="preserve"> to:</w:t>
      </w:r>
    </w:p>
    <w:p w14:paraId="07BF7FF6" w14:textId="77777777" w:rsidR="007B2151" w:rsidRPr="00E73E05" w:rsidRDefault="007B2151" w:rsidP="007B2151">
      <w:pPr>
        <w:ind w:left="-142" w:right="-1"/>
        <w:jc w:val="both"/>
        <w:rPr>
          <w:rFonts w:ascii="Arial" w:eastAsia="Times New Roman" w:hAnsi="Arial" w:cs="Arial"/>
          <w:sz w:val="21"/>
          <w:szCs w:val="21"/>
        </w:rPr>
      </w:pPr>
    </w:p>
    <w:p w14:paraId="56EE266E" w14:textId="35CE924F" w:rsidR="00ED3589" w:rsidRPr="00E73E05" w:rsidRDefault="00977490" w:rsidP="00ED3589">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revised procedures for approval of new partners and University outcentres (November 2018</w:t>
      </w:r>
      <w:r w:rsidR="00E52BF4" w:rsidRPr="00E73E05">
        <w:rPr>
          <w:rFonts w:ascii="Arial" w:eastAsia="Times New Roman" w:hAnsi="Arial" w:cs="Arial"/>
          <w:sz w:val="21"/>
          <w:szCs w:val="21"/>
        </w:rPr>
        <w:t xml:space="preserve"> and July 2020) (</w:t>
      </w:r>
      <w:r w:rsidRPr="00E73E05">
        <w:rPr>
          <w:rFonts w:ascii="Arial" w:eastAsia="Times New Roman" w:hAnsi="Arial" w:cs="Arial"/>
          <w:sz w:val="21"/>
          <w:szCs w:val="21"/>
        </w:rPr>
        <w:t>H and Appendices 6, 7, 9 and 11);</w:t>
      </w:r>
    </w:p>
    <w:p w14:paraId="50CFB42B" w14:textId="77777777" w:rsidR="009F38F5" w:rsidRPr="00E73E05" w:rsidRDefault="009F38F5" w:rsidP="009F38F5">
      <w:pPr>
        <w:tabs>
          <w:tab w:val="left" w:pos="567"/>
        </w:tabs>
        <w:ind w:left="567"/>
        <w:jc w:val="both"/>
        <w:rPr>
          <w:rFonts w:ascii="Arial" w:eastAsia="Times New Roman" w:hAnsi="Arial" w:cs="Arial"/>
          <w:sz w:val="21"/>
          <w:szCs w:val="21"/>
        </w:rPr>
      </w:pPr>
    </w:p>
    <w:p w14:paraId="2D0BB940" w14:textId="7A4DCA9E" w:rsidR="009F38F5" w:rsidRPr="00E73E05" w:rsidRDefault="00A32DB2" w:rsidP="009F38F5">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new status of Affiliate Students for students</w:t>
      </w:r>
      <w:r w:rsidR="00EB3BBF" w:rsidRPr="00E73E05">
        <w:rPr>
          <w:rFonts w:ascii="Arial" w:eastAsia="Times New Roman" w:hAnsi="Arial" w:cs="Arial"/>
          <w:sz w:val="21"/>
          <w:szCs w:val="21"/>
        </w:rPr>
        <w:t xml:space="preserve"> on franchised courses and a sub-category of Ulster University Overseas Students for those attending an Affi</w:t>
      </w:r>
      <w:r w:rsidR="00A7553E" w:rsidRPr="00E73E05">
        <w:rPr>
          <w:rFonts w:ascii="Arial" w:eastAsia="Times New Roman" w:hAnsi="Arial" w:cs="Arial"/>
          <w:sz w:val="21"/>
          <w:szCs w:val="21"/>
        </w:rPr>
        <w:t>liate College or University outcentre abroad</w:t>
      </w:r>
      <w:r w:rsidR="00612404" w:rsidRPr="00E73E05">
        <w:rPr>
          <w:rFonts w:ascii="Arial" w:eastAsia="Times New Roman" w:hAnsi="Arial" w:cs="Arial"/>
          <w:sz w:val="21"/>
          <w:szCs w:val="21"/>
        </w:rPr>
        <w:t xml:space="preserve"> (July 2020) </w:t>
      </w:r>
      <w:r w:rsidR="00A7553E" w:rsidRPr="00E73E05">
        <w:rPr>
          <w:rFonts w:ascii="Arial" w:eastAsia="Times New Roman" w:hAnsi="Arial" w:cs="Arial"/>
          <w:sz w:val="21"/>
          <w:szCs w:val="21"/>
        </w:rPr>
        <w:t xml:space="preserve">(D, V4, </w:t>
      </w:r>
      <w:r w:rsidR="001D6CE2" w:rsidRPr="00E73E05">
        <w:rPr>
          <w:rFonts w:ascii="Arial" w:eastAsia="Times New Roman" w:hAnsi="Arial" w:cs="Arial"/>
          <w:sz w:val="21"/>
          <w:szCs w:val="21"/>
        </w:rPr>
        <w:t>Y</w:t>
      </w:r>
      <w:r w:rsidR="00A7553E" w:rsidRPr="00E73E05">
        <w:rPr>
          <w:rFonts w:ascii="Arial" w:eastAsia="Times New Roman" w:hAnsi="Arial" w:cs="Arial"/>
          <w:sz w:val="21"/>
          <w:szCs w:val="21"/>
        </w:rPr>
        <w:t>4</w:t>
      </w:r>
      <w:r w:rsidR="00975823" w:rsidRPr="00E73E05">
        <w:rPr>
          <w:rFonts w:ascii="Arial" w:eastAsia="Times New Roman" w:hAnsi="Arial" w:cs="Arial"/>
          <w:sz w:val="21"/>
          <w:szCs w:val="21"/>
        </w:rPr>
        <w:t xml:space="preserve"> (previously X4)</w:t>
      </w:r>
      <w:r w:rsidR="00A7553E" w:rsidRPr="00E73E05">
        <w:rPr>
          <w:rFonts w:ascii="Arial" w:eastAsia="Times New Roman" w:hAnsi="Arial" w:cs="Arial"/>
          <w:sz w:val="21"/>
          <w:szCs w:val="21"/>
        </w:rPr>
        <w:t xml:space="preserve">, Appendices </w:t>
      </w:r>
      <w:r w:rsidR="009F38F5" w:rsidRPr="00E73E05">
        <w:rPr>
          <w:rFonts w:ascii="Arial" w:eastAsia="Times New Roman" w:hAnsi="Arial" w:cs="Arial"/>
          <w:sz w:val="21"/>
          <w:szCs w:val="21"/>
        </w:rPr>
        <w:t>4 and 8);</w:t>
      </w:r>
    </w:p>
    <w:p w14:paraId="11979585" w14:textId="77777777" w:rsidR="007B2151" w:rsidRPr="00E73E05" w:rsidRDefault="007B2151" w:rsidP="007B2151">
      <w:pPr>
        <w:tabs>
          <w:tab w:val="left" w:pos="567"/>
        </w:tabs>
        <w:ind w:left="567"/>
        <w:jc w:val="both"/>
        <w:rPr>
          <w:rFonts w:ascii="Arial" w:eastAsia="Times New Roman" w:hAnsi="Arial" w:cs="Arial"/>
          <w:sz w:val="21"/>
          <w:szCs w:val="21"/>
        </w:rPr>
      </w:pPr>
    </w:p>
    <w:p w14:paraId="08A909DC" w14:textId="7F4FC509"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inclusion of guidelines on minimum and maximum cohort sizes (intake) (October 2018) (I2, P2 and Appendix 18);</w:t>
      </w:r>
    </w:p>
    <w:p w14:paraId="3246F38A" w14:textId="77777777" w:rsidR="007B2151" w:rsidRPr="00E73E05" w:rsidRDefault="007B2151" w:rsidP="007B2151">
      <w:pPr>
        <w:tabs>
          <w:tab w:val="left" w:pos="567"/>
        </w:tabs>
        <w:jc w:val="both"/>
        <w:rPr>
          <w:rFonts w:ascii="Arial" w:eastAsia="Times New Roman" w:hAnsi="Arial" w:cs="Arial"/>
          <w:sz w:val="21"/>
          <w:szCs w:val="21"/>
        </w:rPr>
      </w:pPr>
    </w:p>
    <w:p w14:paraId="57EBE708" w14:textId="172D07A7"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inclusion of Principles for use of Chair’s action (APAG) (September 2018) (I2, L, P2, S and Appendix 19);</w:t>
      </w:r>
    </w:p>
    <w:p w14:paraId="358B4080" w14:textId="77777777" w:rsidR="007B2151" w:rsidRPr="00E73E05" w:rsidRDefault="007B2151" w:rsidP="007B2151">
      <w:pPr>
        <w:tabs>
          <w:tab w:val="left" w:pos="567"/>
        </w:tabs>
        <w:jc w:val="both"/>
        <w:rPr>
          <w:rFonts w:ascii="Arial" w:eastAsia="Times New Roman" w:hAnsi="Arial" w:cs="Arial"/>
          <w:sz w:val="21"/>
          <w:szCs w:val="21"/>
        </w:rPr>
      </w:pPr>
    </w:p>
    <w:p w14:paraId="100AFAE5" w14:textId="4CC782B4"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revised procedures for course monitoring (Continuous Assurance of Quality Enhancement) (June 2019) (N3 and Appendices 50 and 51);</w:t>
      </w:r>
    </w:p>
    <w:p w14:paraId="1CEE10C1" w14:textId="77777777" w:rsidR="007B2151" w:rsidRPr="00E73E05" w:rsidRDefault="007B2151" w:rsidP="007B2151">
      <w:pPr>
        <w:tabs>
          <w:tab w:val="left" w:pos="567"/>
        </w:tabs>
        <w:jc w:val="both"/>
        <w:rPr>
          <w:rFonts w:ascii="Arial" w:eastAsia="Times New Roman" w:hAnsi="Arial" w:cs="Arial"/>
          <w:sz w:val="21"/>
          <w:szCs w:val="21"/>
        </w:rPr>
      </w:pPr>
    </w:p>
    <w:p w14:paraId="1047E6A1" w14:textId="1173F010"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revised University guidance on Employability and removal of separate guidance on entrepreneurship and personal development planning (June 2019) (I3, P3 and Appendix 21);</w:t>
      </w:r>
    </w:p>
    <w:p w14:paraId="27CD4F49" w14:textId="77777777" w:rsidR="007B2151" w:rsidRPr="00E73E05" w:rsidRDefault="007B2151" w:rsidP="007B2151">
      <w:pPr>
        <w:tabs>
          <w:tab w:val="left" w:pos="567"/>
        </w:tabs>
        <w:jc w:val="both"/>
        <w:rPr>
          <w:rFonts w:ascii="Arial" w:eastAsia="Times New Roman" w:hAnsi="Arial" w:cs="Arial"/>
          <w:sz w:val="21"/>
          <w:szCs w:val="21"/>
        </w:rPr>
      </w:pPr>
    </w:p>
    <w:p w14:paraId="3167743F" w14:textId="5E850F26"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revised format for evaluation and revalidation documentation, aide-memoire and agenda for meeting</w:t>
      </w:r>
      <w:r w:rsidR="001261B7" w:rsidRPr="00E73E05">
        <w:rPr>
          <w:rFonts w:ascii="Arial" w:eastAsia="Times New Roman" w:hAnsi="Arial" w:cs="Arial"/>
          <w:sz w:val="21"/>
          <w:szCs w:val="21"/>
        </w:rPr>
        <w:t>, provision of assessment rubrics</w:t>
      </w:r>
      <w:r w:rsidRPr="00E73E05">
        <w:rPr>
          <w:rFonts w:ascii="Arial" w:eastAsia="Times New Roman" w:hAnsi="Arial" w:cs="Arial"/>
          <w:sz w:val="21"/>
          <w:szCs w:val="21"/>
        </w:rPr>
        <w:t xml:space="preserve"> (June 2019) (Appendices 22, 27 and 34) and reduced deadlines for completion of documentation following events (October 2018) (I8, J9, P8, Q9 and Appendix 17);</w:t>
      </w:r>
    </w:p>
    <w:p w14:paraId="66488A44" w14:textId="77777777" w:rsidR="007B2151" w:rsidRPr="00E73E05" w:rsidRDefault="007B2151" w:rsidP="007B2151">
      <w:pPr>
        <w:tabs>
          <w:tab w:val="left" w:pos="567"/>
        </w:tabs>
        <w:jc w:val="both"/>
        <w:rPr>
          <w:rFonts w:ascii="Arial" w:eastAsia="Times New Roman" w:hAnsi="Arial" w:cs="Arial"/>
          <w:sz w:val="21"/>
          <w:szCs w:val="21"/>
        </w:rPr>
      </w:pPr>
    </w:p>
    <w:p w14:paraId="68E372D8" w14:textId="327C0F07"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inclusion of Principles for assuring standards and quality in withdrawn courses (March 2019) (M, T and Appendix 46);</w:t>
      </w:r>
    </w:p>
    <w:p w14:paraId="5C595CD4" w14:textId="77777777" w:rsidR="007B2151" w:rsidRPr="00E73E05" w:rsidRDefault="007B2151" w:rsidP="007B2151">
      <w:pPr>
        <w:tabs>
          <w:tab w:val="left" w:pos="567"/>
        </w:tabs>
        <w:jc w:val="both"/>
        <w:rPr>
          <w:rFonts w:ascii="Arial" w:eastAsia="Times New Roman" w:hAnsi="Arial" w:cs="Arial"/>
          <w:sz w:val="21"/>
          <w:szCs w:val="21"/>
        </w:rPr>
      </w:pPr>
    </w:p>
    <w:p w14:paraId="78B9C020" w14:textId="39BE1BCA"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revision to Code of Practice for External Examining to allow external examiners to moderate samples of the work of candidates assessed internally as first class or distinction (hitherto all to be seen), and to require sampling at classification boundaries (June 2019) (N2, U2 and Appendix 49);</w:t>
      </w:r>
    </w:p>
    <w:p w14:paraId="4D3CF3EA" w14:textId="77777777" w:rsidR="007B2151" w:rsidRPr="00E73E05" w:rsidRDefault="007B2151" w:rsidP="007B2151">
      <w:pPr>
        <w:tabs>
          <w:tab w:val="left" w:pos="567"/>
        </w:tabs>
        <w:jc w:val="both"/>
        <w:rPr>
          <w:rFonts w:ascii="Arial" w:eastAsia="Times New Roman" w:hAnsi="Arial" w:cs="Arial"/>
          <w:sz w:val="21"/>
          <w:szCs w:val="21"/>
        </w:rPr>
      </w:pPr>
    </w:p>
    <w:p w14:paraId="19D80014" w14:textId="4D89797C"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inclusion of guidance on appointment of recognised teachers at outcentres (November 2018) (</w:t>
      </w:r>
      <w:r w:rsidR="00B07C81" w:rsidRPr="00E73E05">
        <w:rPr>
          <w:rFonts w:ascii="Arial" w:eastAsia="Times New Roman" w:hAnsi="Arial" w:cs="Arial"/>
          <w:sz w:val="21"/>
          <w:szCs w:val="21"/>
        </w:rPr>
        <w:t>Y</w:t>
      </w:r>
      <w:r w:rsidRPr="00E73E05">
        <w:rPr>
          <w:rFonts w:ascii="Arial" w:eastAsia="Times New Roman" w:hAnsi="Arial" w:cs="Arial"/>
          <w:sz w:val="21"/>
          <w:szCs w:val="21"/>
        </w:rPr>
        <w:t>8</w:t>
      </w:r>
      <w:r w:rsidR="00975823" w:rsidRPr="00E73E05">
        <w:rPr>
          <w:rFonts w:ascii="Arial" w:eastAsia="Times New Roman" w:hAnsi="Arial" w:cs="Arial"/>
          <w:sz w:val="21"/>
          <w:szCs w:val="21"/>
        </w:rPr>
        <w:t xml:space="preserve"> (previously X8)</w:t>
      </w:r>
      <w:r w:rsidRPr="00E73E05">
        <w:rPr>
          <w:rFonts w:ascii="Arial" w:eastAsia="Times New Roman" w:hAnsi="Arial" w:cs="Arial"/>
          <w:sz w:val="21"/>
          <w:szCs w:val="21"/>
        </w:rPr>
        <w:t>);</w:t>
      </w:r>
    </w:p>
    <w:p w14:paraId="721D3A1F" w14:textId="77777777" w:rsidR="007B2151" w:rsidRPr="00E73E05" w:rsidRDefault="007B2151" w:rsidP="007B2151">
      <w:pPr>
        <w:tabs>
          <w:tab w:val="left" w:pos="567"/>
        </w:tabs>
        <w:jc w:val="both"/>
        <w:rPr>
          <w:rFonts w:ascii="Arial" w:eastAsia="Times New Roman" w:hAnsi="Arial" w:cs="Arial"/>
          <w:sz w:val="21"/>
          <w:szCs w:val="21"/>
        </w:rPr>
      </w:pPr>
    </w:p>
    <w:p w14:paraId="47749C10" w14:textId="7FD038BC"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clarification of Associate student rights in the University library (October 2019) (</w:t>
      </w:r>
      <w:r w:rsidR="007B2151" w:rsidRPr="00E73E05">
        <w:rPr>
          <w:rFonts w:ascii="Arial" w:eastAsia="Times New Roman" w:hAnsi="Arial" w:cs="Arial"/>
          <w:sz w:val="21"/>
          <w:szCs w:val="21"/>
        </w:rPr>
        <w:t>O</w:t>
      </w:r>
      <w:r w:rsidRPr="00E73E05">
        <w:rPr>
          <w:rFonts w:ascii="Arial" w:eastAsia="Times New Roman" w:hAnsi="Arial" w:cs="Arial"/>
          <w:sz w:val="21"/>
          <w:szCs w:val="21"/>
        </w:rPr>
        <w:t>3);</w:t>
      </w:r>
    </w:p>
    <w:p w14:paraId="721D876B" w14:textId="77777777" w:rsidR="007B2151" w:rsidRPr="00E73E05" w:rsidRDefault="007B2151" w:rsidP="007B2151">
      <w:pPr>
        <w:tabs>
          <w:tab w:val="left" w:pos="567"/>
        </w:tabs>
        <w:jc w:val="both"/>
        <w:rPr>
          <w:rFonts w:ascii="Arial" w:eastAsia="Times New Roman" w:hAnsi="Arial" w:cs="Arial"/>
          <w:sz w:val="21"/>
          <w:szCs w:val="21"/>
        </w:rPr>
      </w:pPr>
    </w:p>
    <w:p w14:paraId="366CE4F5" w14:textId="2886DE51" w:rsidR="00977490" w:rsidRPr="00E73E05" w:rsidRDefault="00977490"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 xml:space="preserve">new University </w:t>
      </w:r>
      <w:r w:rsidR="009B1753" w:rsidRPr="00E73E05">
        <w:rPr>
          <w:rFonts w:ascii="Arial" w:eastAsia="Times New Roman" w:hAnsi="Arial" w:cs="Arial"/>
          <w:sz w:val="21"/>
          <w:szCs w:val="21"/>
        </w:rPr>
        <w:t>S</w:t>
      </w:r>
      <w:r w:rsidRPr="00E73E05">
        <w:rPr>
          <w:rFonts w:ascii="Arial" w:eastAsia="Times New Roman" w:hAnsi="Arial" w:cs="Arial"/>
          <w:sz w:val="21"/>
          <w:szCs w:val="21"/>
        </w:rPr>
        <w:t>trategy for Learning and Teaching Excellence (November 2019) (A8, Appendix 25)</w:t>
      </w:r>
      <w:r w:rsidR="009B1753" w:rsidRPr="00E73E05">
        <w:rPr>
          <w:rFonts w:ascii="Arial" w:eastAsia="Times New Roman" w:hAnsi="Arial" w:cs="Arial"/>
          <w:sz w:val="21"/>
          <w:szCs w:val="21"/>
        </w:rPr>
        <w:t>;</w:t>
      </w:r>
    </w:p>
    <w:p w14:paraId="2E1E9DE7" w14:textId="77777777" w:rsidR="009B1753" w:rsidRPr="00E73E05" w:rsidRDefault="009B1753" w:rsidP="009B1753">
      <w:pPr>
        <w:pStyle w:val="ListParagraph"/>
        <w:rPr>
          <w:rFonts w:ascii="Arial" w:eastAsia="Times New Roman" w:hAnsi="Arial" w:cs="Arial"/>
          <w:sz w:val="21"/>
          <w:szCs w:val="21"/>
        </w:rPr>
      </w:pPr>
    </w:p>
    <w:p w14:paraId="590BA0A4" w14:textId="33FDBE41" w:rsidR="009B1753" w:rsidRPr="00E73E05" w:rsidRDefault="009B1753"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 xml:space="preserve">updated </w:t>
      </w:r>
      <w:r w:rsidR="00ED3589" w:rsidRPr="00E73E05">
        <w:rPr>
          <w:rFonts w:ascii="Arial" w:eastAsia="Times New Roman" w:hAnsi="Arial" w:cs="Arial"/>
          <w:sz w:val="21"/>
          <w:szCs w:val="21"/>
        </w:rPr>
        <w:t xml:space="preserve">course handbook template </w:t>
      </w:r>
      <w:r w:rsidR="00ED4848" w:rsidRPr="00E73E05">
        <w:rPr>
          <w:rFonts w:ascii="Arial" w:eastAsia="Times New Roman" w:hAnsi="Arial" w:cs="Arial"/>
          <w:sz w:val="21"/>
          <w:szCs w:val="21"/>
        </w:rPr>
        <w:t xml:space="preserve">(May 2020) </w:t>
      </w:r>
      <w:r w:rsidR="00ED3589" w:rsidRPr="00E73E05">
        <w:rPr>
          <w:rFonts w:ascii="Arial" w:eastAsia="Times New Roman" w:hAnsi="Arial" w:cs="Arial"/>
          <w:sz w:val="21"/>
          <w:szCs w:val="21"/>
        </w:rPr>
        <w:t>(Appendix 39);</w:t>
      </w:r>
    </w:p>
    <w:p w14:paraId="0FB3A01F" w14:textId="77777777" w:rsidR="00ED3589" w:rsidRPr="00E73E05" w:rsidRDefault="00ED3589" w:rsidP="00ED3589">
      <w:pPr>
        <w:pStyle w:val="ListParagraph"/>
        <w:rPr>
          <w:rFonts w:ascii="Arial" w:eastAsia="Times New Roman" w:hAnsi="Arial" w:cs="Arial"/>
          <w:sz w:val="21"/>
          <w:szCs w:val="21"/>
        </w:rPr>
      </w:pPr>
    </w:p>
    <w:p w14:paraId="499C63F6" w14:textId="04B334FC" w:rsidR="00ED3589" w:rsidRPr="00E73E05" w:rsidRDefault="006039D6"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 xml:space="preserve">new </w:t>
      </w:r>
      <w:r w:rsidR="00470AD6" w:rsidRPr="00E73E05">
        <w:rPr>
          <w:rFonts w:ascii="Arial" w:eastAsia="Times New Roman" w:hAnsi="Arial" w:cs="Arial"/>
          <w:sz w:val="21"/>
          <w:szCs w:val="21"/>
        </w:rPr>
        <w:t xml:space="preserve">senior </w:t>
      </w:r>
      <w:r w:rsidR="005D57F9" w:rsidRPr="00E73E05">
        <w:rPr>
          <w:rFonts w:ascii="Arial" w:eastAsia="Times New Roman" w:hAnsi="Arial" w:cs="Arial"/>
          <w:sz w:val="21"/>
          <w:szCs w:val="21"/>
        </w:rPr>
        <w:t xml:space="preserve">management </w:t>
      </w:r>
      <w:r w:rsidRPr="00E73E05">
        <w:rPr>
          <w:rFonts w:ascii="Arial" w:eastAsia="Times New Roman" w:hAnsi="Arial" w:cs="Arial"/>
          <w:sz w:val="21"/>
          <w:szCs w:val="21"/>
        </w:rPr>
        <w:t xml:space="preserve">roles </w:t>
      </w:r>
      <w:r w:rsidR="00520A18" w:rsidRPr="00E73E05">
        <w:rPr>
          <w:rFonts w:ascii="Arial" w:eastAsia="Times New Roman" w:hAnsi="Arial" w:cs="Arial"/>
          <w:sz w:val="21"/>
          <w:szCs w:val="21"/>
        </w:rPr>
        <w:t>(May 2020)</w:t>
      </w:r>
      <w:r w:rsidRPr="00E73E05">
        <w:rPr>
          <w:rFonts w:ascii="Arial" w:eastAsia="Times New Roman" w:hAnsi="Arial" w:cs="Arial"/>
          <w:sz w:val="21"/>
          <w:szCs w:val="21"/>
        </w:rPr>
        <w:t xml:space="preserve"> </w:t>
      </w:r>
      <w:r w:rsidR="00F0269F">
        <w:rPr>
          <w:rFonts w:ascii="Arial" w:eastAsia="Times New Roman" w:hAnsi="Arial" w:cs="Arial"/>
          <w:sz w:val="21"/>
          <w:szCs w:val="21"/>
        </w:rPr>
        <w:t xml:space="preserve">(August 2021) </w:t>
      </w:r>
      <w:r w:rsidRPr="00E73E05">
        <w:rPr>
          <w:rFonts w:ascii="Arial" w:eastAsia="Times New Roman" w:hAnsi="Arial" w:cs="Arial"/>
          <w:sz w:val="21"/>
          <w:szCs w:val="21"/>
        </w:rPr>
        <w:t>(</w:t>
      </w:r>
      <w:r w:rsidRPr="00E73E05">
        <w:rPr>
          <w:rFonts w:ascii="Arial" w:eastAsia="Times New Roman" w:hAnsi="Arial" w:cs="Arial"/>
          <w:i/>
          <w:iCs/>
          <w:sz w:val="21"/>
          <w:szCs w:val="21"/>
        </w:rPr>
        <w:t>passim</w:t>
      </w:r>
      <w:r w:rsidRPr="00E73E05">
        <w:rPr>
          <w:rFonts w:ascii="Arial" w:eastAsia="Times New Roman" w:hAnsi="Arial" w:cs="Arial"/>
          <w:sz w:val="21"/>
          <w:szCs w:val="21"/>
        </w:rPr>
        <w:t>)</w:t>
      </w:r>
      <w:r w:rsidR="005D57F9" w:rsidRPr="00E73E05">
        <w:rPr>
          <w:rFonts w:ascii="Arial" w:eastAsia="Times New Roman" w:hAnsi="Arial" w:cs="Arial"/>
          <w:sz w:val="21"/>
          <w:szCs w:val="21"/>
        </w:rPr>
        <w:t>;</w:t>
      </w:r>
    </w:p>
    <w:p w14:paraId="0B93D23E" w14:textId="77777777" w:rsidR="005D57F9" w:rsidRPr="00E73E05" w:rsidRDefault="005D57F9" w:rsidP="005D57F9">
      <w:pPr>
        <w:pStyle w:val="ListParagraph"/>
        <w:rPr>
          <w:rFonts w:ascii="Arial" w:eastAsia="Times New Roman" w:hAnsi="Arial" w:cs="Arial"/>
          <w:sz w:val="21"/>
          <w:szCs w:val="21"/>
        </w:rPr>
      </w:pPr>
    </w:p>
    <w:p w14:paraId="22ED7AFC" w14:textId="421CAF46" w:rsidR="005D57F9" w:rsidRPr="00E73E05" w:rsidRDefault="00F40EB9"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guidance on chairing of boards of examiners for validation courses (June 2021) (K5);</w:t>
      </w:r>
    </w:p>
    <w:p w14:paraId="1122CB79" w14:textId="77777777" w:rsidR="00F40EB9" w:rsidRPr="00E73E05" w:rsidRDefault="00F40EB9" w:rsidP="00F40EB9">
      <w:pPr>
        <w:pStyle w:val="ListParagraph"/>
        <w:rPr>
          <w:rFonts w:ascii="Arial" w:eastAsia="Times New Roman" w:hAnsi="Arial" w:cs="Arial"/>
          <w:sz w:val="21"/>
          <w:szCs w:val="21"/>
        </w:rPr>
      </w:pPr>
    </w:p>
    <w:p w14:paraId="617CF07D" w14:textId="137155E4" w:rsidR="00F40EB9" w:rsidRDefault="00FA49C2" w:rsidP="00977490">
      <w:pPr>
        <w:numPr>
          <w:ilvl w:val="0"/>
          <w:numId w:val="3"/>
        </w:numPr>
        <w:tabs>
          <w:tab w:val="left" w:pos="567"/>
        </w:tabs>
        <w:ind w:left="567" w:hanging="567"/>
        <w:jc w:val="both"/>
        <w:rPr>
          <w:rFonts w:ascii="Arial" w:eastAsia="Times New Roman" w:hAnsi="Arial" w:cs="Arial"/>
          <w:sz w:val="21"/>
          <w:szCs w:val="21"/>
        </w:rPr>
      </w:pPr>
      <w:r w:rsidRPr="00E73E05">
        <w:rPr>
          <w:rFonts w:ascii="Arial" w:eastAsia="Times New Roman" w:hAnsi="Arial" w:cs="Arial"/>
          <w:sz w:val="21"/>
          <w:szCs w:val="21"/>
        </w:rPr>
        <w:t xml:space="preserve">information </w:t>
      </w:r>
      <w:r w:rsidR="00B75D5A" w:rsidRPr="00E73E05">
        <w:rPr>
          <w:rFonts w:ascii="Arial" w:eastAsia="Times New Roman" w:hAnsi="Arial" w:cs="Arial"/>
          <w:sz w:val="21"/>
          <w:szCs w:val="21"/>
        </w:rPr>
        <w:t xml:space="preserve">on dual </w:t>
      </w:r>
      <w:r w:rsidR="00A43AED" w:rsidRPr="00E73E05">
        <w:rPr>
          <w:rFonts w:ascii="Arial" w:eastAsia="Times New Roman" w:hAnsi="Arial" w:cs="Arial"/>
          <w:sz w:val="21"/>
          <w:szCs w:val="21"/>
        </w:rPr>
        <w:t>awards (June 2021) (D, H5,</w:t>
      </w:r>
      <w:r w:rsidR="007040AE" w:rsidRPr="00E73E05">
        <w:rPr>
          <w:rFonts w:ascii="Arial" w:eastAsia="Times New Roman" w:hAnsi="Arial" w:cs="Arial"/>
          <w:sz w:val="21"/>
          <w:szCs w:val="21"/>
        </w:rPr>
        <w:t xml:space="preserve"> W, new sect</w:t>
      </w:r>
      <w:r w:rsidR="00C80505" w:rsidRPr="00E73E05">
        <w:rPr>
          <w:rFonts w:ascii="Arial" w:eastAsia="Times New Roman" w:hAnsi="Arial" w:cs="Arial"/>
          <w:sz w:val="21"/>
          <w:szCs w:val="21"/>
        </w:rPr>
        <w:t>ion X</w:t>
      </w:r>
      <w:r w:rsidR="00BD566A" w:rsidRPr="00E73E05">
        <w:rPr>
          <w:rFonts w:ascii="Arial" w:eastAsia="Times New Roman" w:hAnsi="Arial" w:cs="Arial"/>
          <w:sz w:val="21"/>
          <w:szCs w:val="21"/>
        </w:rPr>
        <w:t xml:space="preserve"> </w:t>
      </w:r>
      <w:r w:rsidR="008064D9" w:rsidRPr="00E73E05">
        <w:rPr>
          <w:rFonts w:ascii="Arial" w:eastAsia="Times New Roman" w:hAnsi="Arial" w:cs="Arial"/>
          <w:sz w:val="21"/>
          <w:szCs w:val="21"/>
        </w:rPr>
        <w:t xml:space="preserve">and renumbering of </w:t>
      </w:r>
      <w:r w:rsidR="00BD566A" w:rsidRPr="00E73E05">
        <w:rPr>
          <w:rFonts w:ascii="Arial" w:eastAsia="Times New Roman" w:hAnsi="Arial" w:cs="Arial"/>
          <w:sz w:val="21"/>
          <w:szCs w:val="21"/>
        </w:rPr>
        <w:t>remaining sections and paragraphs)</w:t>
      </w:r>
      <w:r w:rsidR="006A13DB">
        <w:rPr>
          <w:rFonts w:ascii="Arial" w:eastAsia="Times New Roman" w:hAnsi="Arial" w:cs="Arial"/>
          <w:sz w:val="21"/>
          <w:szCs w:val="21"/>
        </w:rPr>
        <w:t>;</w:t>
      </w:r>
    </w:p>
    <w:p w14:paraId="00C8164F" w14:textId="77777777" w:rsidR="00017D30" w:rsidRDefault="00017D30" w:rsidP="00017D30">
      <w:pPr>
        <w:pStyle w:val="ListParagraph"/>
        <w:rPr>
          <w:rFonts w:ascii="Arial" w:eastAsia="Times New Roman" w:hAnsi="Arial" w:cs="Arial"/>
          <w:sz w:val="21"/>
          <w:szCs w:val="21"/>
        </w:rPr>
      </w:pPr>
    </w:p>
    <w:p w14:paraId="2C241F0E" w14:textId="77777777" w:rsidR="00017D30" w:rsidRDefault="00017D30" w:rsidP="00017D30">
      <w:pPr>
        <w:tabs>
          <w:tab w:val="left" w:pos="567"/>
        </w:tabs>
        <w:jc w:val="both"/>
        <w:rPr>
          <w:rFonts w:ascii="Arial" w:eastAsia="Times New Roman" w:hAnsi="Arial" w:cs="Arial"/>
          <w:sz w:val="21"/>
          <w:szCs w:val="21"/>
        </w:rPr>
      </w:pPr>
    </w:p>
    <w:p w14:paraId="03B668E3" w14:textId="77777777" w:rsidR="00017D30" w:rsidRDefault="00017D30" w:rsidP="00017D30">
      <w:pPr>
        <w:pStyle w:val="ListParagraph"/>
        <w:rPr>
          <w:rFonts w:ascii="Arial" w:eastAsia="Times New Roman" w:hAnsi="Arial" w:cs="Arial"/>
          <w:sz w:val="21"/>
          <w:szCs w:val="21"/>
        </w:rPr>
      </w:pPr>
    </w:p>
    <w:p w14:paraId="07E26E1D" w14:textId="4DE807BB" w:rsidR="00017D30" w:rsidRDefault="00017D30" w:rsidP="00017D30">
      <w:pPr>
        <w:pStyle w:val="ListParagraph"/>
        <w:numPr>
          <w:ilvl w:val="0"/>
          <w:numId w:val="3"/>
        </w:numPr>
        <w:tabs>
          <w:tab w:val="clear" w:pos="1429"/>
        </w:tabs>
        <w:ind w:left="567" w:hanging="567"/>
        <w:jc w:val="both"/>
        <w:rPr>
          <w:sz w:val="21"/>
          <w:szCs w:val="21"/>
        </w:rPr>
      </w:pPr>
      <w:r>
        <w:rPr>
          <w:sz w:val="21"/>
          <w:szCs w:val="21"/>
        </w:rPr>
        <w:t xml:space="preserve">new medical degree (MBBS) </w:t>
      </w:r>
      <w:r w:rsidR="006A13DB">
        <w:rPr>
          <w:sz w:val="21"/>
          <w:szCs w:val="21"/>
        </w:rPr>
        <w:t>(</w:t>
      </w:r>
      <w:r w:rsidR="00F65454">
        <w:rPr>
          <w:sz w:val="21"/>
          <w:szCs w:val="21"/>
        </w:rPr>
        <w:t>March</w:t>
      </w:r>
      <w:r w:rsidR="006A13DB">
        <w:rPr>
          <w:sz w:val="21"/>
          <w:szCs w:val="21"/>
        </w:rPr>
        <w:t xml:space="preserve"> 2021) </w:t>
      </w:r>
      <w:r>
        <w:rPr>
          <w:sz w:val="21"/>
          <w:szCs w:val="21"/>
        </w:rPr>
        <w:t>(D47, 52, Appendix 1)</w:t>
      </w:r>
      <w:r w:rsidR="006A13DB">
        <w:rPr>
          <w:sz w:val="21"/>
          <w:szCs w:val="21"/>
        </w:rPr>
        <w:t>.</w:t>
      </w:r>
    </w:p>
    <w:p w14:paraId="1C4AFC1B" w14:textId="77777777" w:rsidR="00017D30" w:rsidRPr="00E73E05" w:rsidRDefault="00017D30" w:rsidP="006A13DB">
      <w:pPr>
        <w:tabs>
          <w:tab w:val="left" w:pos="567"/>
        </w:tabs>
        <w:ind w:left="567"/>
        <w:jc w:val="both"/>
        <w:rPr>
          <w:rFonts w:ascii="Arial" w:eastAsia="Times New Roman" w:hAnsi="Arial" w:cs="Arial"/>
          <w:sz w:val="21"/>
          <w:szCs w:val="21"/>
        </w:rPr>
      </w:pPr>
    </w:p>
    <w:p w14:paraId="42696114" w14:textId="77777777" w:rsidR="00605623" w:rsidRDefault="00605623"/>
    <w:sectPr w:rsidR="0060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D07C" w14:textId="77777777" w:rsidR="001A517F" w:rsidRDefault="001A517F" w:rsidP="0022543F">
      <w:r>
        <w:separator/>
      </w:r>
    </w:p>
  </w:endnote>
  <w:endnote w:type="continuationSeparator" w:id="0">
    <w:p w14:paraId="650FB175" w14:textId="77777777" w:rsidR="001A517F" w:rsidRDefault="001A517F" w:rsidP="002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46A4" w14:textId="77777777" w:rsidR="001A517F" w:rsidRDefault="001A517F" w:rsidP="0022543F">
      <w:r>
        <w:separator/>
      </w:r>
    </w:p>
  </w:footnote>
  <w:footnote w:type="continuationSeparator" w:id="0">
    <w:p w14:paraId="3FCCC5BC" w14:textId="77777777" w:rsidR="001A517F" w:rsidRDefault="001A517F" w:rsidP="0022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DE"/>
    <w:multiLevelType w:val="hybridMultilevel"/>
    <w:tmpl w:val="19A63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AD238E"/>
    <w:multiLevelType w:val="hybridMultilevel"/>
    <w:tmpl w:val="6E90FDD0"/>
    <w:lvl w:ilvl="0" w:tplc="04C66FF2">
      <w:start w:val="1"/>
      <w:numFmt w:val="bullet"/>
      <w:lvlText w:val=""/>
      <w:lvlJc w:val="left"/>
      <w:pPr>
        <w:tabs>
          <w:tab w:val="num" w:pos="1429"/>
        </w:tabs>
        <w:ind w:left="1429" w:hanging="360"/>
      </w:pPr>
      <w:rPr>
        <w:rFonts w:ascii="Symbol" w:hAnsi="Symbol" w:hint="default"/>
        <w:color w:val="auto"/>
        <w:sz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FA29BE"/>
    <w:multiLevelType w:val="hybridMultilevel"/>
    <w:tmpl w:val="180029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3F"/>
    <w:rsid w:val="00017D30"/>
    <w:rsid w:val="00083BB1"/>
    <w:rsid w:val="000E4B2D"/>
    <w:rsid w:val="000F161B"/>
    <w:rsid w:val="001261B7"/>
    <w:rsid w:val="001A517F"/>
    <w:rsid w:val="001D6CE2"/>
    <w:rsid w:val="0022543F"/>
    <w:rsid w:val="00320352"/>
    <w:rsid w:val="003246B9"/>
    <w:rsid w:val="00364781"/>
    <w:rsid w:val="00470AD6"/>
    <w:rsid w:val="00520A18"/>
    <w:rsid w:val="005D57F9"/>
    <w:rsid w:val="006039D6"/>
    <w:rsid w:val="00605623"/>
    <w:rsid w:val="00612404"/>
    <w:rsid w:val="006A13DB"/>
    <w:rsid w:val="007040AE"/>
    <w:rsid w:val="007B2151"/>
    <w:rsid w:val="008064D9"/>
    <w:rsid w:val="00975823"/>
    <w:rsid w:val="00977490"/>
    <w:rsid w:val="009B1753"/>
    <w:rsid w:val="009F38F5"/>
    <w:rsid w:val="00A32DB2"/>
    <w:rsid w:val="00A43AED"/>
    <w:rsid w:val="00A46D62"/>
    <w:rsid w:val="00A7553E"/>
    <w:rsid w:val="00B07C81"/>
    <w:rsid w:val="00B75D5A"/>
    <w:rsid w:val="00BD566A"/>
    <w:rsid w:val="00C80505"/>
    <w:rsid w:val="00CA064D"/>
    <w:rsid w:val="00D47856"/>
    <w:rsid w:val="00E52BF4"/>
    <w:rsid w:val="00E73E05"/>
    <w:rsid w:val="00E8210C"/>
    <w:rsid w:val="00EB3BBF"/>
    <w:rsid w:val="00ED3589"/>
    <w:rsid w:val="00ED4848"/>
    <w:rsid w:val="00F0269F"/>
    <w:rsid w:val="00F35D89"/>
    <w:rsid w:val="00F40EB9"/>
    <w:rsid w:val="00F65454"/>
    <w:rsid w:val="00F87ADE"/>
    <w:rsid w:val="00FA49C2"/>
    <w:rsid w:val="00FC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2B51"/>
  <w15:chartTrackingRefBased/>
  <w15:docId w15:val="{A13F77CA-D02D-4494-97B4-1856D14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22543F"/>
    <w:pPr>
      <w:tabs>
        <w:tab w:val="center" w:pos="4513"/>
        <w:tab w:val="right" w:pos="9026"/>
      </w:tabs>
    </w:pPr>
  </w:style>
  <w:style w:type="character" w:customStyle="1" w:styleId="HeaderChar">
    <w:name w:val="Header Char"/>
    <w:basedOn w:val="DefaultParagraphFont"/>
    <w:link w:val="Header"/>
    <w:uiPriority w:val="99"/>
    <w:rsid w:val="0022543F"/>
    <w:rPr>
      <w:sz w:val="24"/>
      <w:szCs w:val="24"/>
    </w:rPr>
  </w:style>
  <w:style w:type="paragraph" w:styleId="Footer">
    <w:name w:val="footer"/>
    <w:basedOn w:val="Normal"/>
    <w:link w:val="FooterChar"/>
    <w:uiPriority w:val="99"/>
    <w:unhideWhenUsed/>
    <w:rsid w:val="0022543F"/>
    <w:pPr>
      <w:tabs>
        <w:tab w:val="center" w:pos="4513"/>
        <w:tab w:val="right" w:pos="9026"/>
      </w:tabs>
    </w:pPr>
  </w:style>
  <w:style w:type="character" w:customStyle="1" w:styleId="FooterChar">
    <w:name w:val="Footer Char"/>
    <w:basedOn w:val="DefaultParagraphFont"/>
    <w:link w:val="Footer"/>
    <w:uiPriority w:val="99"/>
    <w:rsid w:val="00225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9CDDC596CBB42967F8FD3A3173EB5" ma:contentTypeVersion="6" ma:contentTypeDescription="Create a new document." ma:contentTypeScope="" ma:versionID="6adf0207d40e463b3246b12f44eb70fe">
  <xsd:schema xmlns:xsd="http://www.w3.org/2001/XMLSchema" xmlns:xs="http://www.w3.org/2001/XMLSchema" xmlns:p="http://schemas.microsoft.com/office/2006/metadata/properties" xmlns:ns2="0f372fb9-b1e7-4b41-93e0-55a3969e1e28" xmlns:ns3="74d9d59e-890c-483a-987e-78fa923dc9f1" targetNamespace="http://schemas.microsoft.com/office/2006/metadata/properties" ma:root="true" ma:fieldsID="ca1f591b2c2fd9fc1fe600d7ac38bfd9" ns2:_="" ns3:_="">
    <xsd:import namespace="0f372fb9-b1e7-4b41-93e0-55a3969e1e28"/>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2fb9-b1e7-4b41-93e0-55a3969e1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d9d59e-890c-483a-987e-78fa923dc9f1">
      <UserInfo>
        <DisplayName>Faulkner, Alan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C81D9-8668-40F1-B37C-DE9799AD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72fb9-b1e7-4b41-93e0-55a3969e1e28"/>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B018C-8F78-421F-B3B2-CFD9D94FB36B}">
  <ds:schemaRefs>
    <ds:schemaRef ds:uri="http://schemas.openxmlformats.org/package/2006/metadata/core-properties"/>
    <ds:schemaRef ds:uri="http://purl.org/dc/dcmitype/"/>
    <ds:schemaRef ds:uri="http://schemas.microsoft.com/office/infopath/2007/PartnerControls"/>
    <ds:schemaRef ds:uri="http://purl.org/dc/elements/1.1/"/>
    <ds:schemaRef ds:uri="74d9d59e-890c-483a-987e-78fa923dc9f1"/>
    <ds:schemaRef ds:uri="http://purl.org/dc/terms/"/>
    <ds:schemaRef ds:uri="http://schemas.microsoft.com/office/2006/documentManagement/types"/>
    <ds:schemaRef ds:uri="http://www.w3.org/XML/1998/namespace"/>
    <ds:schemaRef ds:uri="0f372fb9-b1e7-4b41-93e0-55a3969e1e28"/>
    <ds:schemaRef ds:uri="http://schemas.microsoft.com/office/2006/metadata/properties"/>
  </ds:schemaRefs>
</ds:datastoreItem>
</file>

<file path=customXml/itemProps3.xml><?xml version="1.0" encoding="utf-8"?>
<ds:datastoreItem xmlns:ds="http://schemas.openxmlformats.org/officeDocument/2006/customXml" ds:itemID="{8C5F5C6B-3802-459B-A443-16A6A1DD3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2070</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36</cp:revision>
  <dcterms:created xsi:type="dcterms:W3CDTF">2020-02-05T09:33:00Z</dcterms:created>
  <dcterms:modified xsi:type="dcterms:W3CDTF">2021-11-04T11:00:00Z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0x010100DF49CDDC596CBB42967F8FD3A3173EB5</vt:lpwstr>
  </property>
</Properties>
</file>