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90" w:rsidRDefault="00506490" w:rsidP="0050649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ULSTER UNIVERSITY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COLLABORATIVE PARTNERSHIPS FORUM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January 2019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Paper No: CPF/19/</w:t>
      </w:r>
      <w:r w:rsidR="008B304C">
        <w:rPr>
          <w:rFonts w:ascii="Arial" w:hAnsi="Arial" w:cs="Arial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Agenda Item:</w:t>
      </w:r>
      <w:r w:rsidR="008B304C">
        <w:rPr>
          <w:rFonts w:ascii="Arial" w:hAnsi="Arial" w:cs="Arial"/>
        </w:rPr>
        <w:t xml:space="preserve"> 4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 w:rsidR="002C3B28">
        <w:rPr>
          <w:rFonts w:ascii="Arial" w:hAnsi="Arial" w:cs="Arial"/>
        </w:rPr>
        <w:tab/>
      </w:r>
      <w:r>
        <w:rPr>
          <w:rFonts w:ascii="Arial" w:hAnsi="Arial" w:cs="Arial"/>
        </w:rPr>
        <w:t>STUDENT RETENTION AND SUCCESS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SUMMARY: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consider a paper on student retention and success after resit boards.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 REQUIRED: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consideration.</w:t>
      </w:r>
    </w:p>
    <w:p w:rsidR="00506490" w:rsidRDefault="00506490" w:rsidP="005064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68A9" w:rsidRPr="00B10398" w:rsidRDefault="00F668A9" w:rsidP="00F668A9">
      <w:pPr>
        <w:spacing w:after="0" w:line="240" w:lineRule="auto"/>
        <w:rPr>
          <w:rFonts w:ascii="Arial" w:hAnsi="Arial" w:cs="Arial"/>
        </w:rPr>
      </w:pPr>
      <w:r w:rsidRPr="00B10398">
        <w:rPr>
          <w:rFonts w:ascii="Arial" w:hAnsi="Arial" w:cs="Arial"/>
        </w:rPr>
        <w:lastRenderedPageBreak/>
        <w:t>ULSTER UNIVERSITY</w:t>
      </w:r>
      <w:r w:rsidRPr="00B10398">
        <w:rPr>
          <w:rFonts w:ascii="Arial" w:hAnsi="Arial" w:cs="Arial"/>
        </w:rPr>
        <w:tab/>
      </w:r>
      <w:r w:rsidRPr="00B10398">
        <w:rPr>
          <w:rFonts w:ascii="Arial" w:hAnsi="Arial" w:cs="Arial"/>
        </w:rPr>
        <w:tab/>
      </w:r>
      <w:r w:rsidRPr="00B10398">
        <w:rPr>
          <w:rFonts w:ascii="Arial" w:hAnsi="Arial" w:cs="Arial"/>
        </w:rPr>
        <w:tab/>
      </w:r>
      <w:r w:rsidRPr="00B10398">
        <w:rPr>
          <w:rFonts w:ascii="Arial" w:hAnsi="Arial" w:cs="Arial"/>
        </w:rPr>
        <w:tab/>
      </w:r>
      <w:r w:rsidRPr="00B10398">
        <w:rPr>
          <w:rFonts w:ascii="Arial" w:hAnsi="Arial" w:cs="Arial"/>
        </w:rPr>
        <w:tab/>
      </w:r>
      <w:r w:rsidRPr="00B10398">
        <w:rPr>
          <w:rFonts w:ascii="Arial" w:hAnsi="Arial" w:cs="Arial"/>
        </w:rPr>
        <w:tab/>
        <w:t>Paper No CPF/1</w:t>
      </w:r>
      <w:r w:rsidR="00506490">
        <w:rPr>
          <w:rFonts w:ascii="Arial" w:hAnsi="Arial" w:cs="Arial"/>
        </w:rPr>
        <w:t>9</w:t>
      </w:r>
      <w:r w:rsidR="008B304C">
        <w:rPr>
          <w:rFonts w:ascii="Arial" w:hAnsi="Arial" w:cs="Arial"/>
        </w:rPr>
        <w:t>/01</w:t>
      </w:r>
    </w:p>
    <w:p w:rsidR="00F668A9" w:rsidRPr="00B10398" w:rsidRDefault="00F668A9" w:rsidP="00F668A9">
      <w:pPr>
        <w:spacing w:after="0" w:line="240" w:lineRule="auto"/>
        <w:rPr>
          <w:rFonts w:ascii="Arial" w:hAnsi="Arial" w:cs="Arial"/>
        </w:rPr>
      </w:pPr>
    </w:p>
    <w:p w:rsidR="00F668A9" w:rsidRPr="00B10398" w:rsidRDefault="00F668A9" w:rsidP="00F668A9">
      <w:pPr>
        <w:spacing w:after="0" w:line="240" w:lineRule="auto"/>
        <w:rPr>
          <w:rFonts w:ascii="Arial" w:hAnsi="Arial" w:cs="Arial"/>
        </w:rPr>
      </w:pPr>
      <w:r w:rsidRPr="00B10398">
        <w:rPr>
          <w:rFonts w:ascii="Arial" w:hAnsi="Arial" w:cs="Arial"/>
        </w:rPr>
        <w:t>COLLABORATIVE PA</w:t>
      </w:r>
      <w:r w:rsidR="008B304C">
        <w:rPr>
          <w:rFonts w:ascii="Arial" w:hAnsi="Arial" w:cs="Arial"/>
        </w:rPr>
        <w:t>RTNERSHIPS FORUM</w:t>
      </w:r>
      <w:r w:rsidR="008B304C">
        <w:rPr>
          <w:rFonts w:ascii="Arial" w:hAnsi="Arial" w:cs="Arial"/>
        </w:rPr>
        <w:tab/>
      </w:r>
      <w:r w:rsidR="008B304C">
        <w:rPr>
          <w:rFonts w:ascii="Arial" w:hAnsi="Arial" w:cs="Arial"/>
        </w:rPr>
        <w:tab/>
      </w:r>
      <w:r w:rsidR="008B304C">
        <w:rPr>
          <w:rFonts w:ascii="Arial" w:hAnsi="Arial" w:cs="Arial"/>
        </w:rPr>
        <w:tab/>
        <w:t>Agenda Item 4</w:t>
      </w:r>
    </w:p>
    <w:p w:rsidR="00F668A9" w:rsidRPr="00B10398" w:rsidRDefault="00506490" w:rsidP="00F668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January 2019</w:t>
      </w:r>
    </w:p>
    <w:p w:rsidR="00F668A9" w:rsidRPr="00B10398" w:rsidRDefault="00F668A9" w:rsidP="00F668A9">
      <w:pPr>
        <w:spacing w:after="0" w:line="240" w:lineRule="auto"/>
        <w:rPr>
          <w:rFonts w:ascii="Arial" w:hAnsi="Arial" w:cs="Arial"/>
        </w:rPr>
      </w:pPr>
    </w:p>
    <w:p w:rsidR="00F668A9" w:rsidRPr="00B10398" w:rsidRDefault="00F668A9" w:rsidP="00F668A9">
      <w:pPr>
        <w:spacing w:after="0" w:line="240" w:lineRule="auto"/>
        <w:rPr>
          <w:rFonts w:ascii="Arial" w:hAnsi="Arial" w:cs="Arial"/>
          <w:b/>
          <w:caps/>
        </w:rPr>
      </w:pPr>
      <w:r w:rsidRPr="00B10398">
        <w:rPr>
          <w:rFonts w:ascii="Arial" w:hAnsi="Arial" w:cs="Arial"/>
          <w:b/>
          <w:caps/>
        </w:rPr>
        <w:t>ATTRITION, PROGRESSION AND SUCCESS DATA 201</w:t>
      </w:r>
      <w:r w:rsidR="00506490">
        <w:rPr>
          <w:rFonts w:ascii="Arial" w:hAnsi="Arial" w:cs="Arial"/>
          <w:b/>
          <w:caps/>
        </w:rPr>
        <w:t>7/18</w:t>
      </w:r>
    </w:p>
    <w:p w:rsidR="00F668A9" w:rsidRPr="00B10398" w:rsidRDefault="00F668A9" w:rsidP="00F668A9">
      <w:pPr>
        <w:spacing w:after="0" w:line="240" w:lineRule="auto"/>
        <w:rPr>
          <w:rFonts w:ascii="Arial" w:hAnsi="Arial" w:cs="Arial"/>
          <w:b/>
        </w:rPr>
      </w:pPr>
    </w:p>
    <w:p w:rsidR="00F668A9" w:rsidRPr="00B10398" w:rsidRDefault="00F668A9" w:rsidP="00F668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Attrition</w:t>
      </w:r>
    </w:p>
    <w:p w:rsidR="00F668A9" w:rsidRPr="00B10398" w:rsidRDefault="00F668A9" w:rsidP="00F668A9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668A9" w:rsidRPr="00B10398" w:rsidRDefault="00506490" w:rsidP="00F668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At the meeting of the Collaborative Partnerships </w:t>
      </w:r>
      <w:r w:rsidR="00F668A9" w:rsidRPr="00B10398">
        <w:rPr>
          <w:rFonts w:ascii="Arial" w:hAnsi="Arial" w:cs="Arial"/>
        </w:rPr>
        <w:t xml:space="preserve">Forum </w:t>
      </w:r>
      <w:r>
        <w:rPr>
          <w:rFonts w:ascii="Arial" w:hAnsi="Arial" w:cs="Arial"/>
        </w:rPr>
        <w:t xml:space="preserve">(CPF) on 21 September 2016 it was </w:t>
      </w:r>
      <w:r w:rsidR="00F668A9" w:rsidRPr="00B10398">
        <w:rPr>
          <w:rFonts w:ascii="Arial" w:hAnsi="Arial" w:cs="Arial"/>
        </w:rPr>
        <w:t>agreed that a benchmark of 10% attrition be set for HE Foundation Degree programmes, with a benchmark of 20% for Access to HE Diplomas.</w:t>
      </w:r>
      <w:r>
        <w:rPr>
          <w:rFonts w:ascii="Arial" w:hAnsi="Arial" w:cs="Arial"/>
        </w:rPr>
        <w:t xml:space="preserve">  These benchmarks were reaffirmed by </w:t>
      </w:r>
      <w:r w:rsidR="00BD730C">
        <w:rPr>
          <w:rFonts w:ascii="Arial" w:hAnsi="Arial" w:cs="Arial"/>
        </w:rPr>
        <w:t>members at the meeting of the Forum</w:t>
      </w:r>
      <w:r>
        <w:rPr>
          <w:rFonts w:ascii="Arial" w:hAnsi="Arial" w:cs="Arial"/>
        </w:rPr>
        <w:t xml:space="preserve"> on 4 October 2017 (Min 17.51 refers). </w:t>
      </w:r>
    </w:p>
    <w:p w:rsidR="00F668A9" w:rsidRPr="00B10398" w:rsidRDefault="00F668A9" w:rsidP="00F668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668A9" w:rsidRPr="00B10398" w:rsidRDefault="00F668A9" w:rsidP="00F668A9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10398">
        <w:rPr>
          <w:rFonts w:ascii="Arial" w:hAnsi="Arial" w:cs="Arial"/>
        </w:rPr>
        <w:t>The tables below provide an update on attrition rates by College for HE Foundation Degree and Access Diploma provision following the Supplementary Boards of Examiners in August/September 201</w:t>
      </w:r>
      <w:r w:rsidR="00506490">
        <w:rPr>
          <w:rFonts w:ascii="Arial" w:hAnsi="Arial" w:cs="Arial"/>
        </w:rPr>
        <w:t xml:space="preserve">8.  </w:t>
      </w:r>
      <w:r w:rsidRPr="00B10398">
        <w:rPr>
          <w:rFonts w:ascii="Arial" w:hAnsi="Arial" w:cs="Arial"/>
        </w:rPr>
        <w:t xml:space="preserve">2Y3S statistics are not included in this report as there is no supplementary examination period in this mode. </w:t>
      </w:r>
    </w:p>
    <w:p w:rsidR="00F668A9" w:rsidRPr="00B10398" w:rsidRDefault="00F668A9" w:rsidP="00F668A9">
      <w:pPr>
        <w:spacing w:after="0" w:line="240" w:lineRule="auto"/>
        <w:contextualSpacing/>
        <w:rPr>
          <w:rFonts w:ascii="Arial" w:hAnsi="Arial" w:cs="Arial"/>
          <w:b/>
        </w:rPr>
      </w:pPr>
    </w:p>
    <w:p w:rsidR="00F668A9" w:rsidRPr="00B10398" w:rsidRDefault="0080014D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Attrition Rates: Run date 1 November 2018</w:t>
      </w:r>
      <w:r w:rsidR="00F668A9" w:rsidRPr="00B10398">
        <w:rPr>
          <w:rFonts w:ascii="Arial" w:hAnsi="Arial" w:cs="Arial"/>
          <w:b/>
        </w:rPr>
        <w:t>.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 xml:space="preserve">Figures in brackets are from the </w:t>
      </w:r>
      <w:r w:rsidR="009D31B2">
        <w:rPr>
          <w:rFonts w:ascii="Arial" w:hAnsi="Arial" w:cs="Arial"/>
          <w:b/>
        </w:rPr>
        <w:t>June b</w:t>
      </w:r>
      <w:r w:rsidR="00BD730C">
        <w:rPr>
          <w:rFonts w:ascii="Arial" w:hAnsi="Arial" w:cs="Arial"/>
          <w:b/>
        </w:rPr>
        <w:t>oards.</w:t>
      </w:r>
      <w:r w:rsidRPr="00B10398">
        <w:rPr>
          <w:rFonts w:ascii="Arial" w:hAnsi="Arial" w:cs="Arial"/>
          <w:b/>
        </w:rPr>
        <w:t xml:space="preserve"> 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Table 1.1: HE Provision Attrition Rates 201</w:t>
      </w:r>
      <w:r w:rsidR="00E35A60">
        <w:rPr>
          <w:rFonts w:ascii="Arial" w:hAnsi="Arial" w:cs="Arial"/>
          <w:b/>
        </w:rPr>
        <w:t>7/18</w:t>
      </w:r>
      <w:r w:rsidRPr="00B10398">
        <w:rPr>
          <w:rFonts w:ascii="Arial" w:hAnsi="Arial" w:cs="Arial"/>
          <w:b/>
        </w:rPr>
        <w:t>: Full-Time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Style w:val="TableGrid"/>
        <w:tblW w:w="5589" w:type="dxa"/>
        <w:tblInd w:w="360" w:type="dxa"/>
        <w:tblBorders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2470"/>
        <w:gridCol w:w="1560"/>
        <w:gridCol w:w="1559"/>
      </w:tblGrid>
      <w:tr w:rsidR="00F668A9" w:rsidRPr="00B10398" w:rsidTr="002027A1">
        <w:tc>
          <w:tcPr>
            <w:tcW w:w="2470" w:type="dxa"/>
            <w:tcBorders>
              <w:left w:val="single" w:sz="4" w:space="0" w:color="auto"/>
              <w:right w:val="single" w:sz="2" w:space="0" w:color="auto"/>
            </w:tcBorders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Yr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Yr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2</w:t>
            </w:r>
          </w:p>
        </w:tc>
      </w:tr>
      <w:tr w:rsidR="00F668A9" w:rsidRPr="00B10398" w:rsidTr="002027A1">
        <w:tc>
          <w:tcPr>
            <w:tcW w:w="2470" w:type="dxa"/>
            <w:tcBorders>
              <w:left w:val="single" w:sz="4" w:space="0" w:color="auto"/>
            </w:tcBorders>
          </w:tcPr>
          <w:p w:rsidR="00506490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BMC</w:t>
            </w:r>
          </w:p>
        </w:tc>
        <w:tc>
          <w:tcPr>
            <w:tcW w:w="1560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C25E18">
              <w:rPr>
                <w:rFonts w:ascii="Arial" w:hAnsi="Arial" w:cs="Arial"/>
              </w:rPr>
              <w:t>8.6</w:t>
            </w:r>
            <w:r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5.1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C25E18">
              <w:rPr>
                <w:rFonts w:ascii="Arial" w:hAnsi="Arial" w:cs="Arial"/>
              </w:rPr>
              <w:t xml:space="preserve">7.1 </w:t>
            </w:r>
            <w:r w:rsidRPr="00B10398">
              <w:rPr>
                <w:rFonts w:ascii="Arial" w:hAnsi="Arial" w:cs="Arial"/>
              </w:rPr>
              <w:t>(1</w:t>
            </w:r>
            <w:r w:rsidR="009D31B2">
              <w:rPr>
                <w:rFonts w:ascii="Arial" w:hAnsi="Arial" w:cs="Arial"/>
              </w:rPr>
              <w:t>7.1</w:t>
            </w:r>
            <w:r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  <w:tcBorders>
              <w:left w:val="single" w:sz="4" w:space="0" w:color="auto"/>
            </w:tcBorders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CAFRE</w:t>
            </w:r>
          </w:p>
        </w:tc>
        <w:tc>
          <w:tcPr>
            <w:tcW w:w="1560" w:type="dxa"/>
          </w:tcPr>
          <w:p w:rsidR="00F668A9" w:rsidRPr="00B10398" w:rsidRDefault="00C25E18" w:rsidP="00C25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  <w:r w:rsidR="00F668A9" w:rsidRPr="00B10398">
              <w:rPr>
                <w:rFonts w:ascii="Arial" w:hAnsi="Arial" w:cs="Arial"/>
              </w:rPr>
              <w:t xml:space="preserve"> (6.</w:t>
            </w:r>
            <w:r w:rsidR="009D31B2">
              <w:rPr>
                <w:rFonts w:ascii="Arial" w:hAnsi="Arial" w:cs="Arial"/>
              </w:rPr>
              <w:t>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C25E18" w:rsidP="00C25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6.1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blPrEx>
          <w:tblBorders>
            <w:left w:val="single" w:sz="4" w:space="0" w:color="auto"/>
          </w:tblBorders>
        </w:tblPrEx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NRC</w:t>
            </w:r>
          </w:p>
        </w:tc>
        <w:tc>
          <w:tcPr>
            <w:tcW w:w="1560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C25E18">
              <w:rPr>
                <w:rFonts w:ascii="Arial" w:hAnsi="Arial" w:cs="Arial"/>
              </w:rPr>
              <w:t>3.6</w:t>
            </w:r>
            <w:r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13.0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16.4 (16.4)</w:t>
            </w:r>
          </w:p>
        </w:tc>
      </w:tr>
      <w:tr w:rsidR="00F668A9" w:rsidRPr="00B10398" w:rsidTr="002027A1">
        <w:tblPrEx>
          <w:tblBorders>
            <w:left w:val="single" w:sz="4" w:space="0" w:color="auto"/>
          </w:tblBorders>
        </w:tblPrEx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NWRC</w:t>
            </w:r>
          </w:p>
        </w:tc>
        <w:tc>
          <w:tcPr>
            <w:tcW w:w="1560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2</w:t>
            </w:r>
            <w:r w:rsidR="00C25E18">
              <w:rPr>
                <w:rFonts w:ascii="Arial" w:hAnsi="Arial" w:cs="Arial"/>
              </w:rPr>
              <w:t>4.4</w:t>
            </w:r>
            <w:r w:rsidRPr="00B10398">
              <w:rPr>
                <w:rFonts w:ascii="Arial" w:hAnsi="Arial" w:cs="Arial"/>
              </w:rPr>
              <w:t xml:space="preserve"> (2</w:t>
            </w:r>
            <w:r w:rsidR="009D31B2">
              <w:rPr>
                <w:rFonts w:ascii="Arial" w:hAnsi="Arial" w:cs="Arial"/>
              </w:rPr>
              <w:t>0.4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C25E18" w:rsidP="00C25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18.2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blPrEx>
          <w:tblBorders>
            <w:left w:val="single" w:sz="4" w:space="0" w:color="auto"/>
          </w:tblBorders>
        </w:tblPrEx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SERC</w:t>
            </w:r>
          </w:p>
        </w:tc>
        <w:tc>
          <w:tcPr>
            <w:tcW w:w="1560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C25E18">
              <w:rPr>
                <w:rFonts w:ascii="Arial" w:hAnsi="Arial" w:cs="Arial"/>
              </w:rPr>
              <w:t>1.8</w:t>
            </w:r>
            <w:r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0.9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C25E18" w:rsidP="00C25E1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</w:t>
            </w:r>
            <w:r w:rsidR="00F668A9" w:rsidRPr="00B10398">
              <w:rPr>
                <w:rFonts w:ascii="Arial" w:hAnsi="Arial" w:cs="Arial"/>
              </w:rPr>
              <w:t xml:space="preserve"> (2</w:t>
            </w:r>
            <w:r w:rsidR="009D31B2">
              <w:rPr>
                <w:rFonts w:ascii="Arial" w:hAnsi="Arial" w:cs="Arial"/>
              </w:rPr>
              <w:t>0.4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blPrEx>
          <w:tblBorders>
            <w:left w:val="single" w:sz="4" w:space="0" w:color="auto"/>
          </w:tblBorders>
        </w:tblPrEx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SRC</w:t>
            </w:r>
          </w:p>
        </w:tc>
        <w:tc>
          <w:tcPr>
            <w:tcW w:w="1560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C25E18">
              <w:rPr>
                <w:rFonts w:ascii="Arial" w:hAnsi="Arial" w:cs="Arial"/>
              </w:rPr>
              <w:t>8.2</w:t>
            </w:r>
            <w:r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6.7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C25E18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6E77">
              <w:rPr>
                <w:rFonts w:ascii="Arial" w:hAnsi="Arial" w:cs="Arial"/>
              </w:rPr>
              <w:t>6.1</w:t>
            </w:r>
            <w:r w:rsidR="00F668A9"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6.1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blPrEx>
          <w:tblBorders>
            <w:left w:val="single" w:sz="4" w:space="0" w:color="auto"/>
          </w:tblBorders>
        </w:tblPrEx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SWC</w:t>
            </w:r>
          </w:p>
        </w:tc>
        <w:tc>
          <w:tcPr>
            <w:tcW w:w="1560" w:type="dxa"/>
          </w:tcPr>
          <w:p w:rsidR="00F668A9" w:rsidRPr="00B10398" w:rsidRDefault="00F668A9" w:rsidP="00C25E18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C25E18">
              <w:rPr>
                <w:rFonts w:ascii="Arial" w:hAnsi="Arial" w:cs="Arial"/>
              </w:rPr>
              <w:t>4.9</w:t>
            </w:r>
            <w:r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3.5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9.8 </w:t>
            </w:r>
            <w:r w:rsidR="00F668A9" w:rsidRPr="00B10398">
              <w:rPr>
                <w:rFonts w:ascii="Arial" w:hAnsi="Arial" w:cs="Arial"/>
              </w:rPr>
              <w:t>(</w:t>
            </w:r>
            <w:r w:rsidR="009D31B2">
              <w:rPr>
                <w:rFonts w:ascii="Arial" w:hAnsi="Arial" w:cs="Arial"/>
              </w:rPr>
              <w:t>9.8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</w:tbl>
    <w:p w:rsidR="00F668A9" w:rsidRPr="00B10398" w:rsidRDefault="00F668A9" w:rsidP="00F668A9">
      <w:pPr>
        <w:spacing w:after="0" w:line="240" w:lineRule="auto"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ab/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Table 1.2: HE Provision Attrition Rates 201</w:t>
      </w:r>
      <w:r w:rsidR="00E35A60">
        <w:rPr>
          <w:rFonts w:ascii="Arial" w:hAnsi="Arial" w:cs="Arial"/>
          <w:b/>
        </w:rPr>
        <w:t>7/18</w:t>
      </w:r>
      <w:r w:rsidRPr="00B10398">
        <w:rPr>
          <w:rFonts w:ascii="Arial" w:hAnsi="Arial" w:cs="Arial"/>
          <w:b/>
        </w:rPr>
        <w:t>: Part-Time</w:t>
      </w:r>
    </w:p>
    <w:p w:rsidR="00F668A9" w:rsidRPr="00B10398" w:rsidRDefault="00F668A9" w:rsidP="00F668A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6865" w:type="dxa"/>
        <w:tblInd w:w="360" w:type="dxa"/>
        <w:tblLook w:val="04A0" w:firstRow="1" w:lastRow="0" w:firstColumn="1" w:lastColumn="0" w:noHBand="0" w:noVBand="1"/>
      </w:tblPr>
      <w:tblGrid>
        <w:gridCol w:w="2470"/>
        <w:gridCol w:w="1560"/>
        <w:gridCol w:w="1417"/>
        <w:gridCol w:w="1418"/>
      </w:tblGrid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560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Yr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Yr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Yr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3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BMC</w:t>
            </w:r>
          </w:p>
        </w:tc>
        <w:tc>
          <w:tcPr>
            <w:tcW w:w="156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</w:t>
            </w:r>
            <w:r w:rsidR="00F668A9" w:rsidRPr="00B10398">
              <w:rPr>
                <w:rFonts w:ascii="Arial" w:hAnsi="Arial" w:cs="Arial"/>
              </w:rPr>
              <w:t xml:space="preserve"> (2</w:t>
            </w:r>
            <w:r w:rsidR="009D31B2">
              <w:rPr>
                <w:rFonts w:ascii="Arial" w:hAnsi="Arial" w:cs="Arial"/>
              </w:rPr>
              <w:t>4.7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20.6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68A9" w:rsidRPr="00B1039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11.7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CAFRE</w:t>
            </w:r>
          </w:p>
        </w:tc>
        <w:tc>
          <w:tcPr>
            <w:tcW w:w="156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40.0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196E77">
              <w:rPr>
                <w:rFonts w:ascii="Arial" w:hAnsi="Arial" w:cs="Arial"/>
              </w:rPr>
              <w:t>3.3</w:t>
            </w:r>
            <w:r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3.3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3.6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NRC</w:t>
            </w:r>
          </w:p>
        </w:tc>
        <w:tc>
          <w:tcPr>
            <w:tcW w:w="156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17.4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12.9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14.5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NWRC</w:t>
            </w:r>
          </w:p>
        </w:tc>
        <w:tc>
          <w:tcPr>
            <w:tcW w:w="1560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196E77">
              <w:rPr>
                <w:rFonts w:ascii="Arial" w:hAnsi="Arial" w:cs="Arial"/>
              </w:rPr>
              <w:t>4.0</w:t>
            </w:r>
            <w:r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11.8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</w:t>
            </w:r>
            <w:r w:rsidR="00F668A9" w:rsidRPr="00B10398">
              <w:rPr>
                <w:rFonts w:ascii="Arial" w:hAnsi="Arial" w:cs="Arial"/>
              </w:rPr>
              <w:t xml:space="preserve"> </w:t>
            </w:r>
            <w:r w:rsidR="009D31B2">
              <w:rPr>
                <w:rFonts w:ascii="Arial" w:hAnsi="Arial" w:cs="Arial"/>
              </w:rPr>
              <w:t>(15.4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  <w:r w:rsidR="009D31B2">
              <w:rPr>
                <w:rFonts w:ascii="Arial" w:hAnsi="Arial" w:cs="Arial"/>
              </w:rPr>
              <w:t xml:space="preserve"> (</w:t>
            </w:r>
            <w:r w:rsidR="00F668A9" w:rsidRPr="00B10398">
              <w:rPr>
                <w:rFonts w:ascii="Arial" w:hAnsi="Arial" w:cs="Arial"/>
              </w:rPr>
              <w:t>6</w:t>
            </w:r>
            <w:r w:rsidR="009D31B2">
              <w:rPr>
                <w:rFonts w:ascii="Arial" w:hAnsi="Arial" w:cs="Arial"/>
              </w:rPr>
              <w:t>.</w:t>
            </w:r>
            <w:r w:rsidR="006C552B">
              <w:rPr>
                <w:rFonts w:ascii="Arial" w:hAnsi="Arial" w:cs="Arial"/>
              </w:rPr>
              <w:t>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SERC</w:t>
            </w:r>
          </w:p>
        </w:tc>
        <w:tc>
          <w:tcPr>
            <w:tcW w:w="156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  <w:r w:rsidR="00F668A9" w:rsidRPr="00B10398">
              <w:rPr>
                <w:rFonts w:ascii="Arial" w:hAnsi="Arial" w:cs="Arial"/>
              </w:rPr>
              <w:t xml:space="preserve"> (15.</w:t>
            </w:r>
            <w:r w:rsidR="009D31B2">
              <w:rPr>
                <w:rFonts w:ascii="Arial" w:hAnsi="Arial" w:cs="Arial"/>
              </w:rPr>
              <w:t>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20.4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F668A9" w:rsidP="009D31B2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13.9 (1</w:t>
            </w:r>
            <w:r w:rsidR="009D31B2">
              <w:rPr>
                <w:rFonts w:ascii="Arial" w:hAnsi="Arial" w:cs="Arial"/>
              </w:rPr>
              <w:t>3.9</w:t>
            </w:r>
            <w:r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SRC</w:t>
            </w:r>
          </w:p>
        </w:tc>
        <w:tc>
          <w:tcPr>
            <w:tcW w:w="156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</w:t>
            </w:r>
            <w:r w:rsidR="00F668A9"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9.7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196E77">
              <w:rPr>
                <w:rFonts w:ascii="Arial" w:hAnsi="Arial" w:cs="Arial"/>
              </w:rPr>
              <w:t xml:space="preserve">7.4 </w:t>
            </w:r>
            <w:r w:rsidR="009D31B2">
              <w:rPr>
                <w:rFonts w:ascii="Arial" w:hAnsi="Arial" w:cs="Arial"/>
              </w:rPr>
              <w:t>(16.3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18.5 </w:t>
            </w:r>
            <w:r w:rsidR="00F668A9" w:rsidRPr="00B10398">
              <w:rPr>
                <w:rFonts w:ascii="Arial" w:hAnsi="Arial" w:cs="Arial"/>
              </w:rPr>
              <w:t>(</w:t>
            </w:r>
            <w:r w:rsidR="009D31B2">
              <w:rPr>
                <w:rFonts w:ascii="Arial" w:hAnsi="Arial" w:cs="Arial"/>
              </w:rPr>
              <w:t>20.4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470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SWC</w:t>
            </w:r>
          </w:p>
        </w:tc>
        <w:tc>
          <w:tcPr>
            <w:tcW w:w="156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</w:t>
            </w:r>
            <w:r w:rsidR="00F668A9" w:rsidRPr="00B10398">
              <w:rPr>
                <w:rFonts w:ascii="Arial" w:hAnsi="Arial" w:cs="Arial"/>
              </w:rPr>
              <w:t xml:space="preserve">  (</w:t>
            </w:r>
            <w:r w:rsidR="009D31B2">
              <w:rPr>
                <w:rFonts w:ascii="Arial" w:hAnsi="Arial" w:cs="Arial"/>
              </w:rPr>
              <w:t>14.7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16.7 </w:t>
            </w:r>
            <w:r w:rsidR="00F668A9" w:rsidRPr="00B10398">
              <w:rPr>
                <w:rFonts w:ascii="Arial" w:hAnsi="Arial" w:cs="Arial"/>
              </w:rPr>
              <w:t>(</w:t>
            </w:r>
            <w:r w:rsidR="009D31B2">
              <w:rPr>
                <w:rFonts w:ascii="Arial" w:hAnsi="Arial" w:cs="Arial"/>
              </w:rPr>
              <w:t>16.7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12.5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</w:tbl>
    <w:p w:rsidR="00F668A9" w:rsidRPr="00B10398" w:rsidRDefault="00F668A9" w:rsidP="00F668A9">
      <w:pPr>
        <w:rPr>
          <w:rFonts w:ascii="Arial" w:hAnsi="Arial" w:cs="Arial"/>
          <w:b/>
        </w:rPr>
      </w:pP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Table 1.3: Access Provision Attrition Rates 201</w:t>
      </w:r>
      <w:r w:rsidR="00E35A60">
        <w:rPr>
          <w:rFonts w:ascii="Arial" w:hAnsi="Arial" w:cs="Arial"/>
          <w:b/>
        </w:rPr>
        <w:t>7/18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Style w:val="TableGrid"/>
        <w:tblW w:w="6865" w:type="dxa"/>
        <w:tblInd w:w="360" w:type="dxa"/>
        <w:tblLook w:val="04A0" w:firstRow="1" w:lastRow="0" w:firstColumn="1" w:lastColumn="0" w:noHBand="0" w:noVBand="1"/>
      </w:tblPr>
      <w:tblGrid>
        <w:gridCol w:w="2329"/>
        <w:gridCol w:w="2126"/>
        <w:gridCol w:w="2410"/>
      </w:tblGrid>
      <w:tr w:rsidR="00F668A9" w:rsidRPr="00B10398" w:rsidTr="002027A1">
        <w:tc>
          <w:tcPr>
            <w:tcW w:w="2329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12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% Full-Time</w:t>
            </w:r>
          </w:p>
        </w:tc>
        <w:tc>
          <w:tcPr>
            <w:tcW w:w="2410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% Part-Time</w:t>
            </w:r>
          </w:p>
        </w:tc>
      </w:tr>
      <w:tr w:rsidR="00F668A9" w:rsidRPr="00B10398" w:rsidTr="002027A1">
        <w:tc>
          <w:tcPr>
            <w:tcW w:w="2329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BMC</w:t>
            </w:r>
          </w:p>
        </w:tc>
        <w:tc>
          <w:tcPr>
            <w:tcW w:w="2126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3</w:t>
            </w:r>
            <w:r w:rsidR="00196E77">
              <w:rPr>
                <w:rFonts w:ascii="Arial" w:hAnsi="Arial" w:cs="Arial"/>
              </w:rPr>
              <w:t>1</w:t>
            </w:r>
            <w:r w:rsidRPr="00B10398">
              <w:rPr>
                <w:rFonts w:ascii="Arial" w:hAnsi="Arial" w:cs="Arial"/>
              </w:rPr>
              <w:t>.8 (3</w:t>
            </w:r>
            <w:r w:rsidR="009D31B2">
              <w:rPr>
                <w:rFonts w:ascii="Arial" w:hAnsi="Arial" w:cs="Arial"/>
              </w:rPr>
              <w:t>1</w:t>
            </w:r>
            <w:r w:rsidRPr="00B10398">
              <w:rPr>
                <w:rFonts w:ascii="Arial" w:hAnsi="Arial" w:cs="Arial"/>
              </w:rPr>
              <w:t>.8)</w:t>
            </w:r>
          </w:p>
        </w:tc>
        <w:tc>
          <w:tcPr>
            <w:tcW w:w="241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27.3 </w:t>
            </w:r>
            <w:r w:rsidR="00F668A9" w:rsidRPr="00B10398">
              <w:rPr>
                <w:rFonts w:ascii="Arial" w:hAnsi="Arial" w:cs="Arial"/>
              </w:rPr>
              <w:t>(</w:t>
            </w:r>
            <w:r w:rsidR="009D31B2">
              <w:rPr>
                <w:rFonts w:ascii="Arial" w:hAnsi="Arial" w:cs="Arial"/>
              </w:rPr>
              <w:t>27.3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329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NRC</w:t>
            </w:r>
          </w:p>
        </w:tc>
        <w:tc>
          <w:tcPr>
            <w:tcW w:w="2126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2</w:t>
            </w:r>
            <w:r w:rsidR="00196E77">
              <w:rPr>
                <w:rFonts w:ascii="Arial" w:hAnsi="Arial" w:cs="Arial"/>
              </w:rPr>
              <w:t>2.5</w:t>
            </w:r>
            <w:r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21.3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17.8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329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NWRC</w:t>
            </w:r>
          </w:p>
        </w:tc>
        <w:tc>
          <w:tcPr>
            <w:tcW w:w="2126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32.</w:t>
            </w:r>
            <w:r w:rsidR="00196E77">
              <w:rPr>
                <w:rFonts w:ascii="Arial" w:hAnsi="Arial" w:cs="Arial"/>
              </w:rPr>
              <w:t>0</w:t>
            </w:r>
            <w:r w:rsidRPr="00B10398">
              <w:rPr>
                <w:rFonts w:ascii="Arial" w:hAnsi="Arial" w:cs="Arial"/>
              </w:rPr>
              <w:t xml:space="preserve"> (32.</w:t>
            </w:r>
            <w:r w:rsidR="009D31B2">
              <w:rPr>
                <w:rFonts w:ascii="Arial" w:hAnsi="Arial" w:cs="Arial"/>
              </w:rPr>
              <w:t>2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1</w:t>
            </w:r>
            <w:r w:rsidR="00196E77">
              <w:rPr>
                <w:rFonts w:ascii="Arial" w:hAnsi="Arial" w:cs="Arial"/>
              </w:rPr>
              <w:t>4.6</w:t>
            </w:r>
            <w:r w:rsidRPr="00B10398">
              <w:rPr>
                <w:rFonts w:ascii="Arial" w:hAnsi="Arial" w:cs="Arial"/>
              </w:rPr>
              <w:t xml:space="preserve"> (1</w:t>
            </w:r>
            <w:r w:rsidR="009D31B2">
              <w:rPr>
                <w:rFonts w:ascii="Arial" w:hAnsi="Arial" w:cs="Arial"/>
              </w:rPr>
              <w:t>3.5</w:t>
            </w:r>
            <w:r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329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SRC</w:t>
            </w:r>
          </w:p>
        </w:tc>
        <w:tc>
          <w:tcPr>
            <w:tcW w:w="2126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33.8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F668A9" w:rsidRPr="00B10398" w:rsidRDefault="00F668A9" w:rsidP="00196E77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2</w:t>
            </w:r>
            <w:r w:rsidR="00196E77">
              <w:rPr>
                <w:rFonts w:ascii="Arial" w:hAnsi="Arial" w:cs="Arial"/>
              </w:rPr>
              <w:t>6.5</w:t>
            </w:r>
            <w:r w:rsidRPr="00B10398">
              <w:rPr>
                <w:rFonts w:ascii="Arial" w:hAnsi="Arial" w:cs="Arial"/>
              </w:rPr>
              <w:t xml:space="preserve"> (2</w:t>
            </w:r>
            <w:r w:rsidR="009D31B2">
              <w:rPr>
                <w:rFonts w:ascii="Arial" w:hAnsi="Arial" w:cs="Arial"/>
              </w:rPr>
              <w:t>4.9</w:t>
            </w:r>
            <w:r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2027A1">
        <w:tc>
          <w:tcPr>
            <w:tcW w:w="2329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SWC</w:t>
            </w:r>
          </w:p>
        </w:tc>
        <w:tc>
          <w:tcPr>
            <w:tcW w:w="2126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9D31B2">
              <w:rPr>
                <w:rFonts w:ascii="Arial" w:hAnsi="Arial" w:cs="Arial"/>
              </w:rPr>
              <w:t>34.0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F668A9" w:rsidRPr="00B10398" w:rsidRDefault="00196E77" w:rsidP="00196E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</w:t>
            </w:r>
            <w:r w:rsidR="009D31B2">
              <w:rPr>
                <w:rFonts w:ascii="Arial" w:hAnsi="Arial" w:cs="Arial"/>
              </w:rPr>
              <w:t xml:space="preserve"> (2</w:t>
            </w:r>
            <w:r w:rsidR="00F668A9" w:rsidRPr="00B10398">
              <w:rPr>
                <w:rFonts w:ascii="Arial" w:hAnsi="Arial" w:cs="Arial"/>
              </w:rPr>
              <w:t>3.</w:t>
            </w:r>
            <w:r w:rsidR="009D31B2">
              <w:rPr>
                <w:rFonts w:ascii="Arial" w:hAnsi="Arial" w:cs="Arial"/>
              </w:rPr>
              <w:t>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</w:tbl>
    <w:p w:rsidR="002C3B28" w:rsidRPr="002C3B28" w:rsidRDefault="002C3B28" w:rsidP="002C3B28">
      <w:pPr>
        <w:spacing w:after="0" w:line="240" w:lineRule="auto"/>
        <w:rPr>
          <w:rFonts w:ascii="Arial" w:hAnsi="Arial" w:cs="Arial"/>
        </w:rPr>
      </w:pPr>
    </w:p>
    <w:p w:rsidR="002C3B28" w:rsidRDefault="002C3B28" w:rsidP="002C3B2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BD730C">
        <w:rPr>
          <w:rFonts w:ascii="Arial" w:hAnsi="Arial" w:cs="Arial"/>
        </w:rPr>
        <w:t xml:space="preserve">data shows that with regard to HE provision only CAFRE met the benchmark for attrition in both Years 1 and 2 for full-time programmes and only SWC met the target for Year 2.  Attrition data for Access provision </w:t>
      </w:r>
      <w:r w:rsidR="00C957DB">
        <w:rPr>
          <w:rFonts w:ascii="Arial" w:hAnsi="Arial" w:cs="Arial"/>
        </w:rPr>
        <w:t>was</w:t>
      </w:r>
      <w:r w:rsidR="00BD730C">
        <w:rPr>
          <w:rFonts w:ascii="Arial" w:hAnsi="Arial" w:cs="Arial"/>
        </w:rPr>
        <w:t xml:space="preserve"> also disappointing in that only CAFRE </w:t>
      </w:r>
      <w:r w:rsidR="00C957DB">
        <w:rPr>
          <w:rFonts w:ascii="Arial" w:hAnsi="Arial" w:cs="Arial"/>
        </w:rPr>
        <w:t xml:space="preserve">and NWRC met the benchmark for </w:t>
      </w:r>
      <w:r w:rsidR="00BD730C">
        <w:rPr>
          <w:rFonts w:ascii="Arial" w:hAnsi="Arial" w:cs="Arial"/>
        </w:rPr>
        <w:t>part-time programmes.</w:t>
      </w:r>
    </w:p>
    <w:p w:rsidR="002C3B28" w:rsidRDefault="002C3B28" w:rsidP="002C3B28">
      <w:pPr>
        <w:pStyle w:val="ListParagraph"/>
        <w:ind w:left="360"/>
        <w:rPr>
          <w:rFonts w:ascii="Arial" w:hAnsi="Arial" w:cs="Arial"/>
        </w:rPr>
      </w:pPr>
    </w:p>
    <w:p w:rsidR="00BD730C" w:rsidRDefault="00BD730C" w:rsidP="002C3B2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Members are asked to consider what actions need to be taken to address poor retention in both HE and Access provision.</w:t>
      </w:r>
    </w:p>
    <w:p w:rsidR="002C3B28" w:rsidRPr="00BD730C" w:rsidRDefault="002C3B28" w:rsidP="002C3B28">
      <w:pPr>
        <w:pStyle w:val="ListParagraph"/>
        <w:ind w:left="360"/>
        <w:rPr>
          <w:rFonts w:ascii="Arial" w:hAnsi="Arial" w:cs="Arial"/>
        </w:rPr>
      </w:pPr>
    </w:p>
    <w:p w:rsidR="00F668A9" w:rsidRPr="00B10398" w:rsidRDefault="00F668A9" w:rsidP="00F668A9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Progression and Success</w:t>
      </w:r>
    </w:p>
    <w:p w:rsidR="00F668A9" w:rsidRPr="00B10398" w:rsidRDefault="00F668A9" w:rsidP="00F668A9">
      <w:pPr>
        <w:pStyle w:val="ListParagraph"/>
        <w:ind w:left="360"/>
        <w:rPr>
          <w:rFonts w:ascii="Arial" w:hAnsi="Arial" w:cs="Arial"/>
          <w:b/>
        </w:rPr>
      </w:pPr>
    </w:p>
    <w:p w:rsidR="00F668A9" w:rsidRPr="00B10398" w:rsidRDefault="00F668A9" w:rsidP="00F668A9">
      <w:pPr>
        <w:pStyle w:val="ListParagraph"/>
        <w:ind w:left="360"/>
        <w:rPr>
          <w:rFonts w:ascii="Arial" w:hAnsi="Arial" w:cs="Arial"/>
        </w:rPr>
      </w:pPr>
      <w:r w:rsidRPr="00B10398">
        <w:rPr>
          <w:rFonts w:ascii="Arial" w:hAnsi="Arial" w:cs="Arial"/>
        </w:rPr>
        <w:t>The tables below provide detailed information on Success rates, based on year of study and mode of study.</w:t>
      </w:r>
    </w:p>
    <w:p w:rsidR="00F668A9" w:rsidRPr="00B10398" w:rsidRDefault="00F668A9" w:rsidP="00F668A9">
      <w:pPr>
        <w:pStyle w:val="ListParagraph"/>
        <w:ind w:left="360"/>
        <w:rPr>
          <w:rFonts w:ascii="Arial" w:hAnsi="Arial" w:cs="Arial"/>
        </w:rPr>
      </w:pPr>
    </w:p>
    <w:p w:rsidR="00F668A9" w:rsidRPr="00B10398" w:rsidRDefault="00F668A9" w:rsidP="00F668A9">
      <w:pPr>
        <w:pStyle w:val="ListParagraph"/>
        <w:ind w:left="360"/>
        <w:rPr>
          <w:rFonts w:ascii="Arial" w:hAnsi="Arial" w:cs="Arial"/>
        </w:rPr>
      </w:pPr>
      <w:r w:rsidRPr="00B10398">
        <w:rPr>
          <w:rFonts w:ascii="Arial" w:hAnsi="Arial" w:cs="Arial"/>
        </w:rPr>
        <w:t>Members are reminded that the University has two success measurements:</w:t>
      </w:r>
    </w:p>
    <w:p w:rsidR="00F668A9" w:rsidRPr="00B10398" w:rsidRDefault="00F668A9" w:rsidP="00F668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668A9" w:rsidRPr="00B10398" w:rsidRDefault="00F668A9" w:rsidP="00F668A9">
      <w:pPr>
        <w:pStyle w:val="ListParagraph"/>
        <w:spacing w:after="0" w:line="240" w:lineRule="auto"/>
        <w:ind w:left="2160" w:hanging="1800"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Success 1:</w:t>
      </w:r>
      <w:r w:rsidRPr="00B10398">
        <w:rPr>
          <w:rFonts w:ascii="Arial" w:hAnsi="Arial" w:cs="Arial"/>
          <w:b/>
        </w:rPr>
        <w:tab/>
        <w:t>(Proceed + Award) / (Total – (Early Leavers + LOA + Non-Returners))</w:t>
      </w:r>
    </w:p>
    <w:p w:rsidR="00BD730C" w:rsidRPr="00BD730C" w:rsidRDefault="00F668A9" w:rsidP="00BD730C">
      <w:pPr>
        <w:pStyle w:val="ListParagraph"/>
        <w:spacing w:after="0" w:line="240" w:lineRule="auto"/>
        <w:ind w:left="2160" w:hanging="1800"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>Success 2:</w:t>
      </w:r>
      <w:r w:rsidRPr="00B10398">
        <w:rPr>
          <w:rFonts w:ascii="Arial" w:hAnsi="Arial" w:cs="Arial"/>
          <w:b/>
        </w:rPr>
        <w:tab/>
        <w:t>(Proceed + Award) / (Total)</w:t>
      </w:r>
    </w:p>
    <w:p w:rsidR="00F668A9" w:rsidRPr="00BD730C" w:rsidRDefault="00F668A9" w:rsidP="00BD730C">
      <w:pPr>
        <w:spacing w:after="0" w:line="240" w:lineRule="auto"/>
        <w:rPr>
          <w:rFonts w:ascii="Arial" w:hAnsi="Arial" w:cs="Arial"/>
        </w:rPr>
      </w:pPr>
    </w:p>
    <w:p w:rsidR="002C3B28" w:rsidRDefault="00BD730C" w:rsidP="00F668A9">
      <w:pPr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Partner institutions only consider Success 2 in line with University practice.  </w:t>
      </w:r>
    </w:p>
    <w:p w:rsidR="002C3B28" w:rsidRDefault="002C3B28" w:rsidP="00F668A9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480725" w:rsidRDefault="00480725" w:rsidP="00F668A9">
      <w:pPr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 its meeting on 23 January 2018 members agreed that for HE provision a benchmark for Success 2 be set at 75% in Year 1 and 80% in Year 2.  For Access provision a benchmark of 70% was agreed (Min 18.15 refers).  </w:t>
      </w:r>
    </w:p>
    <w:p w:rsidR="00480725" w:rsidRDefault="00480725" w:rsidP="00F668A9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 w:rsidRPr="00B10398">
        <w:rPr>
          <w:rFonts w:ascii="Arial" w:hAnsi="Arial" w:cs="Arial"/>
          <w:b/>
        </w:rPr>
        <w:t xml:space="preserve">Figures </w:t>
      </w:r>
      <w:r w:rsidR="006C552B">
        <w:rPr>
          <w:rFonts w:ascii="Arial" w:hAnsi="Arial" w:cs="Arial"/>
          <w:b/>
        </w:rPr>
        <w:t>in bra</w:t>
      </w:r>
      <w:r w:rsidR="00BD730C">
        <w:rPr>
          <w:rFonts w:ascii="Arial" w:hAnsi="Arial" w:cs="Arial"/>
          <w:b/>
        </w:rPr>
        <w:t>ckets are from the June boards.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  <w:r w:rsidRPr="00B10398">
        <w:rPr>
          <w:rFonts w:ascii="Arial" w:hAnsi="Arial" w:cs="Arial"/>
          <w:b/>
          <w:u w:val="single"/>
        </w:rPr>
        <w:t>Table 2.1: Full-Time HE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Style w:val="TableGrid"/>
        <w:tblW w:w="8079" w:type="dxa"/>
        <w:tblInd w:w="423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2521"/>
        <w:gridCol w:w="1311"/>
        <w:gridCol w:w="1412"/>
        <w:gridCol w:w="1418"/>
        <w:gridCol w:w="1417"/>
      </w:tblGrid>
      <w:tr w:rsidR="00F668A9" w:rsidRPr="00B10398" w:rsidTr="006C552B">
        <w:tc>
          <w:tcPr>
            <w:tcW w:w="2521" w:type="dxa"/>
            <w:vMerge w:val="restart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723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835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Year 2</w:t>
            </w:r>
          </w:p>
        </w:tc>
      </w:tr>
      <w:tr w:rsidR="00F668A9" w:rsidRPr="00B10398" w:rsidTr="006C552B">
        <w:tc>
          <w:tcPr>
            <w:tcW w:w="2521" w:type="dxa"/>
            <w:vMerge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  <w:b/>
              </w:rPr>
              <w:t>Success 1</w:t>
            </w:r>
          </w:p>
        </w:tc>
        <w:tc>
          <w:tcPr>
            <w:tcW w:w="1412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  <w:b/>
              </w:rPr>
              <w:t>Success 2</w:t>
            </w:r>
          </w:p>
        </w:tc>
        <w:tc>
          <w:tcPr>
            <w:tcW w:w="1418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Success 1</w:t>
            </w:r>
          </w:p>
        </w:tc>
        <w:tc>
          <w:tcPr>
            <w:tcW w:w="1417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Success 2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BMC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91.2</w:t>
            </w:r>
            <w:r w:rsidR="006C552B">
              <w:rPr>
                <w:rFonts w:ascii="Arial" w:hAnsi="Arial" w:cs="Arial"/>
              </w:rPr>
              <w:t xml:space="preserve"> (70.3)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59.5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74.0</w:t>
            </w:r>
            <w:r w:rsidR="00F668A9" w:rsidRPr="00B1039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80.1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61.8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CAFRE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93.2 </w:t>
            </w:r>
            <w:r w:rsidR="00F668A9" w:rsidRPr="00B10398">
              <w:rPr>
                <w:rFonts w:ascii="Arial" w:hAnsi="Arial" w:cs="Arial"/>
              </w:rPr>
              <w:t>(</w:t>
            </w:r>
            <w:r w:rsidR="006C552B">
              <w:rPr>
                <w:rFonts w:ascii="Arial" w:hAnsi="Arial" w:cs="Arial"/>
              </w:rPr>
              <w:t>69.2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67.2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77.8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66.7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NRC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68A9" w:rsidRPr="00B1039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69.9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82.1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63.0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88.8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75.2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64.4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NWRC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54.7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68A9" w:rsidRPr="00B10398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2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46.3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F668A9" w:rsidRPr="00B103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71.1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58.6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SERC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68A9" w:rsidRPr="00B1039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61.1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55.5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80.7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63.2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SRC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91.6 </w:t>
            </w:r>
            <w:r w:rsidR="00F668A9" w:rsidRPr="00B10398">
              <w:rPr>
                <w:rFonts w:ascii="Arial" w:hAnsi="Arial" w:cs="Arial"/>
              </w:rPr>
              <w:t>(</w:t>
            </w:r>
            <w:r w:rsidR="006C552B">
              <w:rPr>
                <w:rFonts w:ascii="Arial" w:hAnsi="Arial" w:cs="Arial"/>
              </w:rPr>
              <w:t>66.1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76.8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56.1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87.6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80.4</w:t>
            </w:r>
            <w:r w:rsidR="00F668A9" w:rsidRPr="00B10398">
              <w:rPr>
                <w:rFonts w:ascii="Arial" w:hAnsi="Arial" w:cs="Arial"/>
              </w:rPr>
              <w:t xml:space="preserve"> (7</w:t>
            </w:r>
            <w:r w:rsidR="006C552B">
              <w:rPr>
                <w:rFonts w:ascii="Arial" w:hAnsi="Arial" w:cs="Arial"/>
              </w:rPr>
              <w:t>2.7)</w:t>
            </w:r>
          </w:p>
        </w:tc>
      </w:tr>
      <w:tr w:rsidR="00F668A9" w:rsidRPr="00B10398" w:rsidTr="006C552B">
        <w:tc>
          <w:tcPr>
            <w:tcW w:w="2521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SWC</w:t>
            </w:r>
          </w:p>
        </w:tc>
        <w:tc>
          <w:tcPr>
            <w:tcW w:w="1311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88.7</w:t>
            </w:r>
            <w:r w:rsidR="006C552B">
              <w:rPr>
                <w:rFonts w:ascii="Arial" w:hAnsi="Arial" w:cs="Arial"/>
              </w:rPr>
              <w:t xml:space="preserve"> </w:t>
            </w:r>
            <w:r w:rsidR="00F668A9" w:rsidRPr="00B10398">
              <w:rPr>
                <w:rFonts w:ascii="Arial" w:hAnsi="Arial" w:cs="Arial"/>
              </w:rPr>
              <w:t>(</w:t>
            </w:r>
            <w:r w:rsidR="006C552B">
              <w:rPr>
                <w:rFonts w:ascii="Arial" w:hAnsi="Arial" w:cs="Arial"/>
              </w:rPr>
              <w:t>74.6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  <w:r w:rsidR="00F668A9" w:rsidRPr="00B10398">
              <w:rPr>
                <w:rFonts w:ascii="Arial" w:hAnsi="Arial" w:cs="Arial"/>
              </w:rPr>
              <w:t>1 (</w:t>
            </w:r>
            <w:r w:rsidR="006C552B">
              <w:rPr>
                <w:rFonts w:ascii="Arial" w:hAnsi="Arial" w:cs="Arial"/>
              </w:rPr>
              <w:t>6</w:t>
            </w:r>
            <w:r w:rsidR="00F668A9" w:rsidRPr="00B10398">
              <w:rPr>
                <w:rFonts w:ascii="Arial" w:hAnsi="Arial" w:cs="Arial"/>
              </w:rPr>
              <w:t>8.</w:t>
            </w:r>
            <w:r w:rsidR="006C552B">
              <w:rPr>
                <w:rFonts w:ascii="Arial" w:hAnsi="Arial" w:cs="Arial"/>
              </w:rPr>
              <w:t>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93.0 </w:t>
            </w:r>
            <w:r w:rsidR="00F668A9" w:rsidRPr="00B10398">
              <w:rPr>
                <w:rFonts w:ascii="Arial" w:hAnsi="Arial" w:cs="Arial"/>
              </w:rPr>
              <w:t>(8</w:t>
            </w:r>
            <w:r w:rsidR="006C552B">
              <w:rPr>
                <w:rFonts w:ascii="Arial" w:hAnsi="Arial" w:cs="Arial"/>
              </w:rPr>
              <w:t>1.4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</w:t>
            </w:r>
            <w:r w:rsidR="00F668A9" w:rsidRPr="00B10398">
              <w:rPr>
                <w:rFonts w:ascii="Arial" w:hAnsi="Arial" w:cs="Arial"/>
              </w:rPr>
              <w:t xml:space="preserve"> (7</w:t>
            </w:r>
            <w:r w:rsidR="006C552B">
              <w:rPr>
                <w:rFonts w:ascii="Arial" w:hAnsi="Arial" w:cs="Arial"/>
              </w:rPr>
              <w:t>1.6)</w:t>
            </w:r>
          </w:p>
        </w:tc>
      </w:tr>
    </w:tbl>
    <w:p w:rsidR="00F668A9" w:rsidRPr="00B10398" w:rsidRDefault="00F668A9" w:rsidP="00B10398">
      <w:pPr>
        <w:rPr>
          <w:rFonts w:ascii="Arial" w:hAnsi="Arial" w:cs="Arial"/>
          <w:b/>
          <w:u w:val="single"/>
        </w:rPr>
      </w:pPr>
    </w:p>
    <w:p w:rsidR="00F668A9" w:rsidRPr="00B10398" w:rsidRDefault="00F668A9" w:rsidP="00F668A9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B10398">
        <w:rPr>
          <w:rFonts w:ascii="Arial" w:hAnsi="Arial" w:cs="Arial"/>
        </w:rPr>
        <w:tab/>
      </w:r>
      <w:r w:rsidRPr="00B10398">
        <w:rPr>
          <w:rFonts w:ascii="Arial" w:hAnsi="Arial" w:cs="Arial"/>
          <w:b/>
          <w:u w:val="single"/>
        </w:rPr>
        <w:t>Table 2.2: Part-Time HE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Style w:val="TableGrid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6"/>
        <w:gridCol w:w="1276"/>
        <w:gridCol w:w="1275"/>
        <w:gridCol w:w="1276"/>
        <w:gridCol w:w="1276"/>
      </w:tblGrid>
      <w:tr w:rsidR="00F668A9" w:rsidRPr="00B10398" w:rsidTr="00F668A9">
        <w:tc>
          <w:tcPr>
            <w:tcW w:w="1417" w:type="dxa"/>
            <w:vMerge w:val="restart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410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551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552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Year 3</w:t>
            </w:r>
          </w:p>
        </w:tc>
      </w:tr>
      <w:tr w:rsidR="00F668A9" w:rsidRPr="00B10398" w:rsidTr="00F668A9">
        <w:tc>
          <w:tcPr>
            <w:tcW w:w="1417" w:type="dxa"/>
            <w:vMerge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  <w:b/>
              </w:rPr>
              <w:t>Success 1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  <w:b/>
              </w:rPr>
              <w:t>Success 2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Success 1</w:t>
            </w:r>
          </w:p>
        </w:tc>
        <w:tc>
          <w:tcPr>
            <w:tcW w:w="1275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 xml:space="preserve">Success 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 xml:space="preserve">Success 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 xml:space="preserve">Success 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2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BMC</w:t>
            </w: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97.3 </w:t>
            </w:r>
            <w:r w:rsidR="00F668A9" w:rsidRPr="00B10398">
              <w:rPr>
                <w:rFonts w:ascii="Arial" w:hAnsi="Arial" w:cs="Arial"/>
              </w:rPr>
              <w:t>(9</w:t>
            </w:r>
            <w:r w:rsidR="006C552B">
              <w:rPr>
                <w:rFonts w:ascii="Arial" w:hAnsi="Arial" w:cs="Arial"/>
              </w:rPr>
              <w:t>5.3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</w:t>
            </w:r>
            <w:r w:rsidR="00F668A9" w:rsidRPr="00B10398">
              <w:rPr>
                <w:rFonts w:ascii="Arial" w:hAnsi="Arial" w:cs="Arial"/>
              </w:rPr>
              <w:t xml:space="preserve"> (7</w:t>
            </w:r>
            <w:r w:rsidR="006C552B">
              <w:rPr>
                <w:rFonts w:ascii="Arial" w:hAnsi="Arial" w:cs="Arial"/>
              </w:rPr>
              <w:t>1.2</w:t>
            </w:r>
            <w:r w:rsidR="00F668A9" w:rsidRPr="00B1039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</w:p>
          <w:p w:rsidR="00F668A9" w:rsidRPr="00B10398" w:rsidRDefault="00F668A9" w:rsidP="006C552B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(</w:t>
            </w:r>
            <w:r w:rsidR="006C552B">
              <w:rPr>
                <w:rFonts w:ascii="Arial" w:hAnsi="Arial" w:cs="Arial"/>
              </w:rPr>
              <w:t>78.3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6C55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F668A9" w:rsidRPr="00B10398">
              <w:rPr>
                <w:rFonts w:ascii="Arial" w:hAnsi="Arial" w:cs="Arial"/>
              </w:rPr>
              <w:t>.0 (</w:t>
            </w:r>
            <w:r w:rsidR="006C552B">
              <w:rPr>
                <w:rFonts w:ascii="Arial" w:hAnsi="Arial" w:cs="Arial"/>
              </w:rPr>
              <w:t>55.7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F668A9" w:rsidRPr="00B10398">
              <w:rPr>
                <w:rFonts w:ascii="Arial" w:hAnsi="Arial" w:cs="Arial"/>
              </w:rPr>
              <w:t>.0 (</w:t>
            </w:r>
            <w:r w:rsidR="006C552B">
              <w:rPr>
                <w:rFonts w:ascii="Arial" w:hAnsi="Arial" w:cs="Arial"/>
              </w:rPr>
              <w:t>94.0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78.3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CAFRE</w:t>
            </w: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64.7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2027A1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4</w:t>
            </w:r>
            <w:r w:rsidR="002027A1">
              <w:rPr>
                <w:rFonts w:ascii="Arial" w:hAnsi="Arial" w:cs="Arial"/>
              </w:rPr>
              <w:t>6.7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(</w:t>
            </w:r>
            <w:r w:rsidR="006C552B">
              <w:rPr>
                <w:rFonts w:ascii="Arial" w:hAnsi="Arial" w:cs="Arial"/>
              </w:rPr>
              <w:t>3</w:t>
            </w:r>
            <w:r w:rsidRPr="00B10398">
              <w:rPr>
                <w:rFonts w:ascii="Arial" w:hAnsi="Arial" w:cs="Arial"/>
              </w:rPr>
              <w:t>6.</w:t>
            </w:r>
            <w:r w:rsidR="006C552B">
              <w:rPr>
                <w:rFonts w:ascii="Arial" w:hAnsi="Arial" w:cs="Arial"/>
              </w:rPr>
              <w:t>7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73.9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6C552B">
              <w:rPr>
                <w:rFonts w:ascii="Arial" w:hAnsi="Arial" w:cs="Arial"/>
              </w:rPr>
              <w:t>56.7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2027A1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76.2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68A9" w:rsidRPr="00B10398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57.1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NRC</w:t>
            </w: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87.1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80.</w:t>
            </w:r>
            <w:r w:rsidR="002027A1">
              <w:rPr>
                <w:rFonts w:ascii="Arial" w:hAnsi="Arial" w:cs="Arial"/>
              </w:rPr>
              <w:t>3</w:t>
            </w: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71.9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56.2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44.1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85.7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76.8</w:t>
            </w:r>
            <w:r w:rsidR="00F668A9" w:rsidRPr="00B10398">
              <w:rPr>
                <w:rFonts w:ascii="Arial" w:hAnsi="Arial" w:cs="Arial"/>
              </w:rPr>
              <w:t xml:space="preserve"> (6</w:t>
            </w:r>
            <w:r w:rsidR="00480725">
              <w:rPr>
                <w:rFonts w:ascii="Arial" w:hAnsi="Arial" w:cs="Arial"/>
              </w:rPr>
              <w:t>9.6)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NWRC</w:t>
            </w: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</w:t>
            </w:r>
            <w:r w:rsidR="00480725">
              <w:rPr>
                <w:rFonts w:ascii="Arial" w:hAnsi="Arial" w:cs="Arial"/>
              </w:rPr>
              <w:t xml:space="preserve"> (87.0)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  <w:r w:rsidR="00F668A9" w:rsidRPr="00B10398">
              <w:rPr>
                <w:rFonts w:ascii="Arial" w:hAnsi="Arial" w:cs="Arial"/>
              </w:rPr>
              <w:t xml:space="preserve"> (7</w:t>
            </w:r>
            <w:r w:rsidR="00480725">
              <w:rPr>
                <w:rFonts w:ascii="Arial" w:hAnsi="Arial" w:cs="Arial"/>
              </w:rPr>
              <w:t>2.0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91.7</w:t>
            </w:r>
          </w:p>
          <w:p w:rsidR="00F668A9" w:rsidRPr="00B10398" w:rsidRDefault="00F668A9" w:rsidP="00480725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(</w:t>
            </w:r>
            <w:r w:rsidR="00480725">
              <w:rPr>
                <w:rFonts w:ascii="Arial" w:hAnsi="Arial" w:cs="Arial"/>
              </w:rPr>
              <w:t>73.5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67.7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55.4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81.0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48072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</w:t>
            </w:r>
            <w:r w:rsidR="00F668A9" w:rsidRPr="00B10398">
              <w:rPr>
                <w:rFonts w:ascii="Arial" w:hAnsi="Arial" w:cs="Arial"/>
              </w:rPr>
              <w:t xml:space="preserve"> (73.</w:t>
            </w:r>
            <w:r w:rsidR="00480725">
              <w:rPr>
                <w:rFonts w:ascii="Arial" w:hAnsi="Arial" w:cs="Arial"/>
              </w:rPr>
              <w:t>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SERC</w:t>
            </w: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92.7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65.9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56.9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</w:p>
          <w:p w:rsidR="00F668A9" w:rsidRPr="00B10398" w:rsidRDefault="00F668A9" w:rsidP="00480725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(</w:t>
            </w:r>
            <w:r w:rsidR="00480725">
              <w:rPr>
                <w:rFonts w:ascii="Arial" w:hAnsi="Arial" w:cs="Arial"/>
              </w:rPr>
              <w:t>72.5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59.2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8</w:t>
            </w:r>
            <w:r w:rsidR="002027A1">
              <w:rPr>
                <w:rFonts w:ascii="Arial" w:hAnsi="Arial" w:cs="Arial"/>
              </w:rPr>
              <w:t>6.7</w:t>
            </w: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73.3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72.2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61.1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SRC</w:t>
            </w: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98.8</w:t>
            </w:r>
            <w:r w:rsidR="00480725">
              <w:rPr>
                <w:rFonts w:ascii="Arial" w:hAnsi="Arial" w:cs="Arial"/>
              </w:rPr>
              <w:t xml:space="preserve"> (90</w:t>
            </w:r>
            <w:r w:rsidR="00F668A9" w:rsidRPr="00B10398">
              <w:rPr>
                <w:rFonts w:ascii="Arial" w:hAnsi="Arial" w:cs="Arial"/>
              </w:rPr>
              <w:t>.</w:t>
            </w:r>
            <w:r w:rsidR="00480725">
              <w:rPr>
                <w:rFonts w:ascii="Arial" w:hAnsi="Arial" w:cs="Arial"/>
              </w:rPr>
              <w:t>0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76.6</w:t>
            </w:r>
            <w:r w:rsidR="00F668A9" w:rsidRPr="00B10398">
              <w:rPr>
                <w:rFonts w:ascii="Arial" w:hAnsi="Arial" w:cs="Arial"/>
              </w:rPr>
              <w:t xml:space="preserve"> (7</w:t>
            </w:r>
            <w:r w:rsidR="00480725">
              <w:rPr>
                <w:rFonts w:ascii="Arial" w:hAnsi="Arial" w:cs="Arial"/>
              </w:rPr>
              <w:t>0.2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77.5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</w:t>
            </w:r>
            <w:r w:rsidR="00480725">
              <w:rPr>
                <w:rFonts w:ascii="Arial" w:hAnsi="Arial" w:cs="Arial"/>
              </w:rPr>
              <w:t xml:space="preserve"> (59.8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8</w:t>
            </w:r>
            <w:r w:rsidR="002027A1">
              <w:rPr>
                <w:rFonts w:ascii="Arial" w:hAnsi="Arial" w:cs="Arial"/>
              </w:rPr>
              <w:t>8.1</w:t>
            </w: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87.8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66.7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SWC</w:t>
            </w:r>
          </w:p>
          <w:p w:rsidR="002C3B28" w:rsidRPr="00B10398" w:rsidRDefault="002C3B28" w:rsidP="00202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88.4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78.4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74.5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94.4</w:t>
            </w:r>
            <w:r w:rsidR="00F668A9" w:rsidRPr="00B10398">
              <w:rPr>
                <w:rFonts w:ascii="Arial" w:hAnsi="Arial" w:cs="Arial"/>
              </w:rPr>
              <w:t xml:space="preserve"> (8</w:t>
            </w:r>
            <w:r w:rsidR="00480725">
              <w:rPr>
                <w:rFonts w:ascii="Arial" w:hAnsi="Arial" w:cs="Arial"/>
              </w:rPr>
              <w:t>3.3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70.8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62.5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2027A1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77.8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</w:t>
            </w:r>
          </w:p>
          <w:p w:rsidR="00F668A9" w:rsidRPr="00B10398" w:rsidRDefault="00F668A9" w:rsidP="00480725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(</w:t>
            </w:r>
            <w:r w:rsidR="00480725">
              <w:rPr>
                <w:rFonts w:ascii="Arial" w:hAnsi="Arial" w:cs="Arial"/>
              </w:rPr>
              <w:t>58.3</w:t>
            </w:r>
            <w:r w:rsidRPr="00B10398">
              <w:rPr>
                <w:rFonts w:ascii="Arial" w:hAnsi="Arial" w:cs="Arial"/>
              </w:rPr>
              <w:t>)</w:t>
            </w:r>
          </w:p>
        </w:tc>
      </w:tr>
    </w:tbl>
    <w:p w:rsidR="00F668A9" w:rsidRPr="00B10398" w:rsidRDefault="00F668A9" w:rsidP="00F668A9">
      <w:pPr>
        <w:spacing w:after="0" w:line="240" w:lineRule="auto"/>
        <w:rPr>
          <w:rFonts w:ascii="Arial" w:hAnsi="Arial" w:cs="Arial"/>
          <w:b/>
          <w:u w:val="single"/>
        </w:rPr>
      </w:pPr>
    </w:p>
    <w:p w:rsidR="00BD730C" w:rsidRDefault="00BD730C" w:rsidP="00BD730C">
      <w:pPr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It is pleasing to note that in the majority of cases the Success 2 benchmark for full-time HE provision was met.  However, the significant increase in Success between the June Boards and the resit boards is worth noting and action still needs to be take</w:t>
      </w:r>
      <w:r w:rsidR="002C3B2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 address poor first sit performance.</w:t>
      </w:r>
    </w:p>
    <w:p w:rsidR="00BD730C" w:rsidRDefault="00BD730C" w:rsidP="00BD730C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F668A9" w:rsidRPr="00B10398" w:rsidRDefault="00F668A9" w:rsidP="00F668A9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B10398">
        <w:rPr>
          <w:rFonts w:ascii="Arial" w:hAnsi="Arial" w:cs="Arial"/>
          <w:b/>
        </w:rPr>
        <w:tab/>
      </w:r>
      <w:r w:rsidRPr="00B10398">
        <w:rPr>
          <w:rFonts w:ascii="Arial" w:hAnsi="Arial" w:cs="Arial"/>
          <w:b/>
          <w:u w:val="single"/>
        </w:rPr>
        <w:t>Table 2.3: Access Courses</w:t>
      </w:r>
    </w:p>
    <w:p w:rsidR="00F668A9" w:rsidRPr="00B10398" w:rsidRDefault="00F668A9" w:rsidP="00F668A9">
      <w:pPr>
        <w:spacing w:after="0"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Style w:val="TableGrid"/>
        <w:tblW w:w="6520" w:type="dxa"/>
        <w:tblInd w:w="423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5"/>
        <w:gridCol w:w="1276"/>
      </w:tblGrid>
      <w:tr w:rsidR="00F668A9" w:rsidRPr="00B10398" w:rsidTr="00F668A9">
        <w:tc>
          <w:tcPr>
            <w:tcW w:w="1417" w:type="dxa"/>
            <w:vMerge w:val="restart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552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Full-Time</w:t>
            </w:r>
          </w:p>
        </w:tc>
        <w:tc>
          <w:tcPr>
            <w:tcW w:w="2551" w:type="dxa"/>
            <w:gridSpan w:val="2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Part-Time</w:t>
            </w:r>
          </w:p>
        </w:tc>
      </w:tr>
      <w:tr w:rsidR="00F668A9" w:rsidRPr="00B10398" w:rsidTr="00F668A9">
        <w:tc>
          <w:tcPr>
            <w:tcW w:w="1417" w:type="dxa"/>
            <w:vMerge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  <w:b/>
              </w:rPr>
              <w:t>Success 1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  <w:b/>
              </w:rPr>
              <w:t>Success 2</w:t>
            </w:r>
          </w:p>
        </w:tc>
        <w:tc>
          <w:tcPr>
            <w:tcW w:w="1275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Success 1</w:t>
            </w:r>
          </w:p>
        </w:tc>
        <w:tc>
          <w:tcPr>
            <w:tcW w:w="1276" w:type="dxa"/>
          </w:tcPr>
          <w:p w:rsidR="00F668A9" w:rsidRPr="00B10398" w:rsidRDefault="00F668A9" w:rsidP="002027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10398">
              <w:rPr>
                <w:rFonts w:ascii="Arial" w:hAnsi="Arial" w:cs="Arial"/>
                <w:b/>
              </w:rPr>
              <w:t>Success 2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BMC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93.3</w:t>
            </w:r>
            <w:r w:rsidR="00480725">
              <w:rPr>
                <w:rFonts w:ascii="Arial" w:hAnsi="Arial" w:cs="Arial"/>
              </w:rPr>
              <w:t xml:space="preserve"> (86.7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63.6</w:t>
            </w:r>
            <w:r w:rsidR="00F668A9" w:rsidRPr="00B10398">
              <w:rPr>
                <w:rFonts w:ascii="Arial" w:hAnsi="Arial" w:cs="Arial"/>
              </w:rPr>
              <w:t xml:space="preserve"> (5</w:t>
            </w:r>
            <w:r w:rsidR="00480725">
              <w:rPr>
                <w:rFonts w:ascii="Arial" w:hAnsi="Arial" w:cs="Arial"/>
              </w:rPr>
              <w:t>9.1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79.2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57.6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NRC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74.1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</w:t>
            </w:r>
            <w:r w:rsidR="00F668A9" w:rsidRPr="00B10398">
              <w:rPr>
                <w:rFonts w:ascii="Arial" w:hAnsi="Arial" w:cs="Arial"/>
              </w:rPr>
              <w:t xml:space="preserve"> (5</w:t>
            </w:r>
            <w:r w:rsidR="00480725">
              <w:rPr>
                <w:rFonts w:ascii="Arial" w:hAnsi="Arial" w:cs="Arial"/>
              </w:rPr>
              <w:t>3.8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95.1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77.6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69.7</w:t>
            </w:r>
            <w:r w:rsidR="00480725">
              <w:rPr>
                <w:rFonts w:ascii="Arial" w:hAnsi="Arial" w:cs="Arial"/>
              </w:rPr>
              <w:t xml:space="preserve"> (57.2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NWRC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70.3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</w:t>
            </w:r>
            <w:r w:rsidR="00480725">
              <w:rPr>
                <w:rFonts w:ascii="Arial" w:hAnsi="Arial" w:cs="Arial"/>
              </w:rPr>
              <w:t xml:space="preserve"> (4</w:t>
            </w:r>
            <w:r w:rsidR="00F668A9" w:rsidRPr="00B10398">
              <w:rPr>
                <w:rFonts w:ascii="Arial" w:hAnsi="Arial" w:cs="Arial"/>
              </w:rPr>
              <w:t>3.0)</w:t>
            </w:r>
          </w:p>
        </w:tc>
        <w:tc>
          <w:tcPr>
            <w:tcW w:w="1275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80.5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</w:t>
            </w:r>
            <w:r w:rsidR="00F668A9" w:rsidRPr="00B10398">
              <w:rPr>
                <w:rFonts w:ascii="Arial" w:hAnsi="Arial" w:cs="Arial"/>
              </w:rPr>
              <w:t xml:space="preserve"> (6</w:t>
            </w:r>
            <w:r w:rsidR="00480725">
              <w:rPr>
                <w:rFonts w:ascii="Arial" w:hAnsi="Arial" w:cs="Arial"/>
              </w:rPr>
              <w:t>2.2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SRC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80.6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69.7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53.4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46.6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85.8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71.8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3768A6" w:rsidP="003768A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58.6</w:t>
            </w:r>
            <w:r w:rsidR="00F668A9" w:rsidRPr="00B10398">
              <w:rPr>
                <w:rFonts w:ascii="Arial" w:hAnsi="Arial" w:cs="Arial"/>
              </w:rPr>
              <w:t xml:space="preserve"> (5</w:t>
            </w:r>
            <w:r w:rsidR="00480725">
              <w:rPr>
                <w:rFonts w:ascii="Arial" w:hAnsi="Arial" w:cs="Arial"/>
              </w:rPr>
              <w:t>0.2</w:t>
            </w:r>
            <w:r w:rsidR="00F668A9" w:rsidRPr="00B10398">
              <w:rPr>
                <w:rFonts w:ascii="Arial" w:hAnsi="Arial" w:cs="Arial"/>
              </w:rPr>
              <w:t>)</w:t>
            </w:r>
          </w:p>
        </w:tc>
      </w:tr>
      <w:tr w:rsidR="00F668A9" w:rsidRPr="00B10398" w:rsidTr="00F668A9">
        <w:tc>
          <w:tcPr>
            <w:tcW w:w="1417" w:type="dxa"/>
          </w:tcPr>
          <w:p w:rsidR="00F668A9" w:rsidRPr="00B10398" w:rsidRDefault="00F668A9" w:rsidP="002027A1">
            <w:pPr>
              <w:contextualSpacing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SWC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88.2</w:t>
            </w:r>
            <w:r w:rsidR="00F668A9"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76</w:t>
            </w:r>
            <w:r w:rsidR="00F668A9" w:rsidRPr="00B10398">
              <w:rPr>
                <w:rFonts w:ascii="Arial" w:hAnsi="Arial" w:cs="Arial"/>
              </w:rPr>
              <w:t>.5)</w:t>
            </w:r>
          </w:p>
        </w:tc>
        <w:tc>
          <w:tcPr>
            <w:tcW w:w="1276" w:type="dxa"/>
          </w:tcPr>
          <w:p w:rsidR="00F668A9" w:rsidRPr="00B10398" w:rsidRDefault="002027A1" w:rsidP="002027A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56.6</w:t>
            </w:r>
          </w:p>
          <w:p w:rsidR="00F668A9" w:rsidRPr="00B10398" w:rsidRDefault="00F668A9" w:rsidP="00480725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(4</w:t>
            </w:r>
            <w:r w:rsidR="00480725">
              <w:rPr>
                <w:rFonts w:ascii="Arial" w:hAnsi="Arial" w:cs="Arial"/>
              </w:rPr>
              <w:t>9</w:t>
            </w:r>
            <w:r w:rsidRPr="00B10398">
              <w:rPr>
                <w:rFonts w:ascii="Arial" w:hAnsi="Arial" w:cs="Arial"/>
              </w:rPr>
              <w:t>.1)</w:t>
            </w:r>
          </w:p>
        </w:tc>
        <w:tc>
          <w:tcPr>
            <w:tcW w:w="1275" w:type="dxa"/>
          </w:tcPr>
          <w:p w:rsidR="00F668A9" w:rsidRPr="00B10398" w:rsidRDefault="00F668A9" w:rsidP="003768A6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76.</w:t>
            </w:r>
            <w:r w:rsidR="003768A6">
              <w:rPr>
                <w:rFonts w:ascii="Arial" w:hAnsi="Arial" w:cs="Arial"/>
              </w:rPr>
              <w:t>4</w:t>
            </w: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70.3</w:t>
            </w:r>
            <w:r w:rsidRPr="00B1039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F668A9" w:rsidRPr="00B10398" w:rsidRDefault="00F668A9" w:rsidP="003768A6">
            <w:pPr>
              <w:contextualSpacing/>
              <w:jc w:val="center"/>
              <w:rPr>
                <w:rFonts w:ascii="Arial" w:hAnsi="Arial" w:cs="Arial"/>
              </w:rPr>
            </w:pPr>
            <w:r w:rsidRPr="00B10398">
              <w:rPr>
                <w:rFonts w:ascii="Arial" w:hAnsi="Arial" w:cs="Arial"/>
              </w:rPr>
              <w:t>5</w:t>
            </w:r>
            <w:r w:rsidR="003768A6">
              <w:rPr>
                <w:rFonts w:ascii="Arial" w:hAnsi="Arial" w:cs="Arial"/>
              </w:rPr>
              <w:t>6.7</w:t>
            </w:r>
            <w:r w:rsidRPr="00B10398">
              <w:rPr>
                <w:rFonts w:ascii="Arial" w:hAnsi="Arial" w:cs="Arial"/>
              </w:rPr>
              <w:t xml:space="preserve"> (</w:t>
            </w:r>
            <w:r w:rsidR="00480725">
              <w:rPr>
                <w:rFonts w:ascii="Arial" w:hAnsi="Arial" w:cs="Arial"/>
              </w:rPr>
              <w:t>53.6</w:t>
            </w:r>
            <w:r w:rsidRPr="00B10398">
              <w:rPr>
                <w:rFonts w:ascii="Arial" w:hAnsi="Arial" w:cs="Arial"/>
              </w:rPr>
              <w:t>)</w:t>
            </w:r>
          </w:p>
        </w:tc>
      </w:tr>
    </w:tbl>
    <w:p w:rsidR="00F668A9" w:rsidRPr="00B10398" w:rsidRDefault="00F668A9" w:rsidP="00F668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668A9" w:rsidRDefault="00F668A9" w:rsidP="00C25E18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B10398">
        <w:rPr>
          <w:rFonts w:ascii="Arial" w:hAnsi="Arial" w:cs="Arial"/>
        </w:rPr>
        <w:tab/>
      </w:r>
      <w:r w:rsidR="00BD730C">
        <w:rPr>
          <w:rFonts w:ascii="Arial" w:hAnsi="Arial" w:cs="Arial"/>
        </w:rPr>
        <w:t>It is worrying to note that of those Colleges offering Access Diplomas none met the Success 2 benchmark for either full-time or part-time mode of study.</w:t>
      </w:r>
    </w:p>
    <w:p w:rsidR="00BD730C" w:rsidRDefault="00BD730C" w:rsidP="00C25E18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BD730C" w:rsidRPr="00B10398" w:rsidRDefault="00BD730C" w:rsidP="00C25E18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Members are asked to provide an explanation as to why performance was so poor on Access programmes and suggest what actions need to be taken to address this problem.</w:t>
      </w:r>
    </w:p>
    <w:p w:rsidR="00F668A9" w:rsidRPr="00B10398" w:rsidRDefault="00F668A9" w:rsidP="00F668A9">
      <w:pPr>
        <w:spacing w:after="0" w:line="240" w:lineRule="auto"/>
        <w:rPr>
          <w:rFonts w:ascii="Arial" w:hAnsi="Arial" w:cs="Arial"/>
        </w:rPr>
      </w:pPr>
    </w:p>
    <w:sectPr w:rsidR="00F668A9" w:rsidRPr="00B10398" w:rsidSect="00F668A9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25B"/>
    <w:multiLevelType w:val="hybridMultilevel"/>
    <w:tmpl w:val="35E05DCC"/>
    <w:lvl w:ilvl="0" w:tplc="F89E8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C5CF9"/>
    <w:multiLevelType w:val="hybridMultilevel"/>
    <w:tmpl w:val="5096DC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9"/>
    <w:rsid w:val="00116083"/>
    <w:rsid w:val="001831A6"/>
    <w:rsid w:val="00196E77"/>
    <w:rsid w:val="002027A1"/>
    <w:rsid w:val="002C3B28"/>
    <w:rsid w:val="003768A6"/>
    <w:rsid w:val="00480725"/>
    <w:rsid w:val="00506490"/>
    <w:rsid w:val="006C552B"/>
    <w:rsid w:val="0080014D"/>
    <w:rsid w:val="008B304C"/>
    <w:rsid w:val="009D31B2"/>
    <w:rsid w:val="00A6388A"/>
    <w:rsid w:val="00B10398"/>
    <w:rsid w:val="00BD730C"/>
    <w:rsid w:val="00C25E18"/>
    <w:rsid w:val="00C957DB"/>
    <w:rsid w:val="00E35A60"/>
    <w:rsid w:val="00F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5B6D9-3613-4A27-874D-4F5CDED3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74B2-46CE-44B1-B45C-157481B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Cathy</dc:creator>
  <cp:keywords/>
  <dc:description/>
  <cp:lastModifiedBy>Gaston, Andrina</cp:lastModifiedBy>
  <cp:revision>2</cp:revision>
  <cp:lastPrinted>2019-01-18T11:24:00Z</cp:lastPrinted>
  <dcterms:created xsi:type="dcterms:W3CDTF">2019-01-18T11:25:00Z</dcterms:created>
  <dcterms:modified xsi:type="dcterms:W3CDTF">2019-01-18T11:25:00Z</dcterms:modified>
</cp:coreProperties>
</file>