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91F5" w14:textId="49CB7DE9" w:rsidR="00696F5E" w:rsidRDefault="00696F5E" w:rsidP="00696F5E">
      <w:pPr>
        <w:spacing w:after="0" w:line="240" w:lineRule="auto"/>
        <w:rPr>
          <w:rFonts w:ascii="Arial" w:hAnsi="Arial" w:cs="Arial"/>
          <w:sz w:val="24"/>
        </w:rPr>
      </w:pPr>
      <w:r w:rsidRPr="00696F5E">
        <w:rPr>
          <w:rFonts w:ascii="Arial" w:hAnsi="Arial" w:cs="Arial"/>
          <w:sz w:val="24"/>
        </w:rPr>
        <w:t>EXTRACT FROM ACADEMIC STANDARDS AND QUALITY ENHANCEMENT COMMITTEE: 11.3.21</w:t>
      </w:r>
    </w:p>
    <w:p w14:paraId="1EAA3EB8" w14:textId="77777777" w:rsidR="00696F5E" w:rsidRPr="00696F5E" w:rsidRDefault="00696F5E" w:rsidP="00696F5E">
      <w:pPr>
        <w:spacing w:after="0" w:line="240" w:lineRule="auto"/>
        <w:rPr>
          <w:rFonts w:ascii="Arial" w:hAnsi="Arial" w:cs="Arial"/>
          <w:sz w:val="24"/>
        </w:rPr>
      </w:pPr>
    </w:p>
    <w:p w14:paraId="124623A6" w14:textId="77777777" w:rsidR="00696F5E" w:rsidRDefault="00696F5E" w:rsidP="00696F5E">
      <w:pPr>
        <w:spacing w:after="0" w:line="240" w:lineRule="auto"/>
        <w:ind w:right="-46" w:hanging="851"/>
        <w:jc w:val="both"/>
        <w:rPr>
          <w:rFonts w:ascii="Arial" w:hAnsi="Arial" w:cs="Arial"/>
          <w:sz w:val="24"/>
          <w:szCs w:val="24"/>
        </w:rPr>
      </w:pPr>
      <w:r w:rsidRPr="001F7204">
        <w:rPr>
          <w:rFonts w:ascii="Arial" w:hAnsi="Arial" w:cs="Arial"/>
          <w:sz w:val="24"/>
          <w:szCs w:val="24"/>
        </w:rPr>
        <w:t>2</w:t>
      </w:r>
      <w:r>
        <w:rPr>
          <w:rFonts w:ascii="Arial" w:hAnsi="Arial" w:cs="Arial"/>
          <w:sz w:val="24"/>
          <w:szCs w:val="24"/>
        </w:rPr>
        <w:t>1</w:t>
      </w:r>
      <w:r w:rsidRPr="001F7204">
        <w:rPr>
          <w:rFonts w:ascii="Arial" w:hAnsi="Arial" w:cs="Arial"/>
          <w:sz w:val="24"/>
          <w:szCs w:val="24"/>
        </w:rPr>
        <w:t>.1</w:t>
      </w:r>
      <w:r>
        <w:rPr>
          <w:rFonts w:ascii="Arial" w:hAnsi="Arial" w:cs="Arial"/>
          <w:sz w:val="24"/>
          <w:szCs w:val="24"/>
        </w:rPr>
        <w:t>1</w:t>
      </w:r>
      <w:r w:rsidRPr="001F7204">
        <w:rPr>
          <w:rFonts w:ascii="Arial" w:hAnsi="Arial" w:cs="Arial"/>
          <w:sz w:val="24"/>
          <w:szCs w:val="24"/>
        </w:rPr>
        <w:tab/>
      </w:r>
      <w:r>
        <w:rPr>
          <w:rFonts w:ascii="Arial" w:hAnsi="Arial" w:cs="Arial"/>
          <w:sz w:val="24"/>
          <w:szCs w:val="24"/>
        </w:rPr>
        <w:t>NEW AWARD REGULATIONS</w:t>
      </w:r>
    </w:p>
    <w:p w14:paraId="4D8AFE4A" w14:textId="77777777" w:rsidR="00696F5E" w:rsidRDefault="00696F5E" w:rsidP="00696F5E">
      <w:pPr>
        <w:spacing w:after="0" w:line="240" w:lineRule="auto"/>
        <w:ind w:right="-46" w:hanging="851"/>
        <w:jc w:val="both"/>
        <w:rPr>
          <w:rFonts w:ascii="Arial" w:hAnsi="Arial" w:cs="Arial"/>
          <w:sz w:val="24"/>
          <w:szCs w:val="24"/>
        </w:rPr>
      </w:pPr>
    </w:p>
    <w:p w14:paraId="7EC09F70" w14:textId="27D26575" w:rsidR="00696F5E" w:rsidRPr="00696F5E" w:rsidRDefault="00696F5E" w:rsidP="00696F5E">
      <w:pPr>
        <w:spacing w:after="0" w:line="240" w:lineRule="auto"/>
        <w:ind w:right="-46"/>
        <w:jc w:val="both"/>
        <w:rPr>
          <w:rFonts w:ascii="Arial" w:hAnsi="Arial" w:cs="Arial"/>
          <w:sz w:val="24"/>
          <w:szCs w:val="24"/>
        </w:rPr>
      </w:pPr>
      <w:r w:rsidRPr="00696F5E">
        <w:rPr>
          <w:rFonts w:ascii="Arial" w:hAnsi="Arial" w:cs="Arial"/>
          <w:sz w:val="24"/>
          <w:szCs w:val="24"/>
          <w:u w:val="single"/>
        </w:rPr>
        <w:t>Bachelor of Medicine, Bachelor of Surgery (MBBS) Regulations</w:t>
      </w:r>
    </w:p>
    <w:p w14:paraId="3EB1987A" w14:textId="77777777" w:rsidR="00696F5E" w:rsidRPr="00040CF3" w:rsidRDefault="00696F5E" w:rsidP="00696F5E">
      <w:pPr>
        <w:pStyle w:val="ListParagraph"/>
        <w:tabs>
          <w:tab w:val="right" w:pos="9746"/>
        </w:tabs>
        <w:suppressAutoHyphens w:val="0"/>
        <w:spacing w:after="0" w:line="240" w:lineRule="auto"/>
        <w:ind w:left="0" w:hanging="851"/>
        <w:contextualSpacing/>
        <w:jc w:val="both"/>
        <w:rPr>
          <w:rFonts w:ascii="Arial" w:hAnsi="Arial" w:cs="Arial"/>
          <w:sz w:val="24"/>
          <w:szCs w:val="24"/>
          <w:u w:val="single"/>
        </w:rPr>
      </w:pPr>
    </w:p>
    <w:p w14:paraId="3E3365D9" w14:textId="77777777" w:rsidR="00696F5E" w:rsidRPr="00040CF3" w:rsidRDefault="00696F5E" w:rsidP="00696F5E">
      <w:pPr>
        <w:spacing w:after="0" w:line="240" w:lineRule="auto"/>
        <w:ind w:right="-46"/>
        <w:jc w:val="both"/>
        <w:rPr>
          <w:rFonts w:ascii="Arial" w:hAnsi="Arial" w:cs="Arial"/>
          <w:sz w:val="24"/>
          <w:szCs w:val="24"/>
        </w:rPr>
      </w:pPr>
      <w:r w:rsidRPr="001F7204">
        <w:rPr>
          <w:rFonts w:ascii="Arial" w:hAnsi="Arial" w:cs="Arial"/>
          <w:sz w:val="24"/>
          <w:szCs w:val="24"/>
        </w:rPr>
        <w:t xml:space="preserve">The Committee </w:t>
      </w:r>
      <w:r w:rsidRPr="00040CF3">
        <w:rPr>
          <w:rFonts w:ascii="Arial" w:hAnsi="Arial" w:cs="Arial"/>
          <w:sz w:val="24"/>
          <w:szCs w:val="24"/>
        </w:rPr>
        <w:t>consider</w:t>
      </w:r>
      <w:r>
        <w:rPr>
          <w:rFonts w:ascii="Arial" w:hAnsi="Arial" w:cs="Arial"/>
          <w:sz w:val="24"/>
          <w:szCs w:val="24"/>
        </w:rPr>
        <w:t>ed</w:t>
      </w:r>
      <w:r w:rsidRPr="00040CF3">
        <w:rPr>
          <w:rFonts w:ascii="Arial" w:hAnsi="Arial" w:cs="Arial"/>
          <w:sz w:val="24"/>
          <w:szCs w:val="24"/>
        </w:rPr>
        <w:t xml:space="preserve"> draft award regulations for the new qualification of Bachelor of Medicine, Bachelor of Surgery (MBBS) (Paper No ASQEC/21/3e).</w:t>
      </w:r>
      <w:r>
        <w:rPr>
          <w:rFonts w:ascii="Arial" w:hAnsi="Arial" w:cs="Arial"/>
          <w:sz w:val="24"/>
          <w:szCs w:val="24"/>
        </w:rPr>
        <w:t xml:space="preserve">  </w:t>
      </w:r>
    </w:p>
    <w:p w14:paraId="54D71464" w14:textId="77777777" w:rsidR="00696F5E" w:rsidRDefault="00696F5E" w:rsidP="00696F5E">
      <w:pPr>
        <w:tabs>
          <w:tab w:val="right" w:pos="9746"/>
        </w:tabs>
        <w:spacing w:after="0" w:line="240" w:lineRule="auto"/>
        <w:ind w:hanging="851"/>
        <w:jc w:val="both"/>
        <w:rPr>
          <w:rFonts w:ascii="Arial" w:hAnsi="Arial" w:cs="Arial"/>
          <w:sz w:val="24"/>
          <w:szCs w:val="24"/>
        </w:rPr>
      </w:pPr>
    </w:p>
    <w:p w14:paraId="5A362302" w14:textId="577AAF44" w:rsidR="00696F5E" w:rsidRDefault="00696F5E" w:rsidP="00696F5E">
      <w:pPr>
        <w:tabs>
          <w:tab w:val="right" w:pos="9746"/>
        </w:tabs>
        <w:spacing w:after="0" w:line="240" w:lineRule="auto"/>
        <w:jc w:val="both"/>
        <w:rPr>
          <w:rFonts w:ascii="Arial" w:hAnsi="Arial" w:cs="Arial"/>
          <w:bCs/>
          <w:sz w:val="24"/>
          <w:szCs w:val="24"/>
        </w:rPr>
      </w:pPr>
      <w:r>
        <w:rPr>
          <w:rFonts w:ascii="Arial" w:hAnsi="Arial" w:cs="Arial"/>
          <w:sz w:val="24"/>
          <w:szCs w:val="24"/>
        </w:rPr>
        <w:tab/>
      </w:r>
      <w:r w:rsidRPr="00040CF3">
        <w:rPr>
          <w:rFonts w:ascii="Arial" w:hAnsi="Arial" w:cs="Arial"/>
          <w:sz w:val="24"/>
          <w:szCs w:val="24"/>
        </w:rPr>
        <w:t xml:space="preserve">The regulations </w:t>
      </w:r>
      <w:r>
        <w:rPr>
          <w:rFonts w:ascii="Arial" w:hAnsi="Arial" w:cs="Arial"/>
          <w:sz w:val="24"/>
          <w:szCs w:val="24"/>
        </w:rPr>
        <w:t>we</w:t>
      </w:r>
      <w:r w:rsidRPr="00040CF3">
        <w:rPr>
          <w:rFonts w:ascii="Arial" w:hAnsi="Arial" w:cs="Arial"/>
          <w:sz w:val="24"/>
          <w:szCs w:val="24"/>
        </w:rPr>
        <w:t xml:space="preserve">re based on those of the contingency partner, St George’s University, London (SGUL) and </w:t>
      </w:r>
      <w:r>
        <w:rPr>
          <w:rFonts w:ascii="Arial" w:hAnsi="Arial" w:cs="Arial"/>
          <w:sz w:val="24"/>
          <w:szCs w:val="24"/>
        </w:rPr>
        <w:t>were modell</w:t>
      </w:r>
      <w:r w:rsidRPr="00040CF3">
        <w:rPr>
          <w:rFonts w:ascii="Arial" w:hAnsi="Arial" w:cs="Arial"/>
          <w:sz w:val="24"/>
          <w:szCs w:val="24"/>
        </w:rPr>
        <w:t>ed closely o</w:t>
      </w:r>
      <w:r>
        <w:rPr>
          <w:rFonts w:ascii="Arial" w:hAnsi="Arial" w:cs="Arial"/>
          <w:sz w:val="24"/>
          <w:szCs w:val="24"/>
        </w:rPr>
        <w:t>n</w:t>
      </w:r>
      <w:r w:rsidRPr="00040CF3">
        <w:rPr>
          <w:rFonts w:ascii="Arial" w:hAnsi="Arial" w:cs="Arial"/>
          <w:sz w:val="24"/>
          <w:szCs w:val="24"/>
        </w:rPr>
        <w:t xml:space="preserve"> the University’s regulations for integrated Master’s degrees which</w:t>
      </w:r>
      <w:r>
        <w:rPr>
          <w:rFonts w:ascii="Arial" w:hAnsi="Arial" w:cs="Arial"/>
          <w:sz w:val="24"/>
          <w:szCs w:val="24"/>
        </w:rPr>
        <w:t xml:space="preserve"> were</w:t>
      </w:r>
      <w:r w:rsidRPr="00040CF3">
        <w:rPr>
          <w:rFonts w:ascii="Arial" w:hAnsi="Arial" w:cs="Arial"/>
          <w:sz w:val="24"/>
          <w:szCs w:val="24"/>
        </w:rPr>
        <w:t xml:space="preserve"> delivered over four years and ha</w:t>
      </w:r>
      <w:r>
        <w:rPr>
          <w:rFonts w:ascii="Arial" w:hAnsi="Arial" w:cs="Arial"/>
          <w:sz w:val="24"/>
          <w:szCs w:val="24"/>
        </w:rPr>
        <w:t>d</w:t>
      </w:r>
      <w:r w:rsidRPr="00040CF3">
        <w:rPr>
          <w:rFonts w:ascii="Arial" w:hAnsi="Arial" w:cs="Arial"/>
          <w:sz w:val="24"/>
          <w:szCs w:val="24"/>
        </w:rPr>
        <w:t xml:space="preserve"> a </w:t>
      </w:r>
      <w:r>
        <w:rPr>
          <w:rFonts w:ascii="Arial" w:hAnsi="Arial" w:cs="Arial"/>
          <w:sz w:val="24"/>
          <w:szCs w:val="24"/>
        </w:rPr>
        <w:t>L</w:t>
      </w:r>
      <w:r w:rsidRPr="00040CF3">
        <w:rPr>
          <w:rFonts w:ascii="Arial" w:hAnsi="Arial" w:cs="Arial"/>
          <w:sz w:val="24"/>
          <w:szCs w:val="24"/>
        </w:rPr>
        <w:t xml:space="preserve">evel 7 final attainment. </w:t>
      </w:r>
      <w:r>
        <w:rPr>
          <w:rFonts w:ascii="Arial" w:hAnsi="Arial" w:cs="Arial"/>
          <w:sz w:val="24"/>
          <w:szCs w:val="24"/>
        </w:rPr>
        <w:t xml:space="preserve"> </w:t>
      </w:r>
      <w:r w:rsidRPr="00040CF3">
        <w:rPr>
          <w:rFonts w:ascii="Arial" w:hAnsi="Arial" w:cs="Arial"/>
          <w:sz w:val="24"/>
          <w:szCs w:val="24"/>
        </w:rPr>
        <w:t xml:space="preserve">The regulations </w:t>
      </w:r>
      <w:r>
        <w:rPr>
          <w:rFonts w:ascii="Arial" w:hAnsi="Arial" w:cs="Arial"/>
          <w:sz w:val="24"/>
          <w:szCs w:val="24"/>
        </w:rPr>
        <w:t>had been</w:t>
      </w:r>
      <w:r w:rsidRPr="00040CF3">
        <w:rPr>
          <w:rFonts w:ascii="Arial" w:hAnsi="Arial" w:cs="Arial"/>
          <w:sz w:val="24"/>
          <w:szCs w:val="24"/>
        </w:rPr>
        <w:t xml:space="preserve"> approved by the G</w:t>
      </w:r>
      <w:r>
        <w:rPr>
          <w:rFonts w:ascii="Arial" w:hAnsi="Arial" w:cs="Arial"/>
          <w:sz w:val="24"/>
          <w:szCs w:val="24"/>
        </w:rPr>
        <w:t xml:space="preserve">eneral </w:t>
      </w:r>
      <w:r w:rsidRPr="00040CF3">
        <w:rPr>
          <w:rFonts w:ascii="Arial" w:hAnsi="Arial" w:cs="Arial"/>
          <w:sz w:val="24"/>
          <w:szCs w:val="24"/>
        </w:rPr>
        <w:t>M</w:t>
      </w:r>
      <w:r>
        <w:rPr>
          <w:rFonts w:ascii="Arial" w:hAnsi="Arial" w:cs="Arial"/>
          <w:sz w:val="24"/>
          <w:szCs w:val="24"/>
        </w:rPr>
        <w:t xml:space="preserve">edical </w:t>
      </w:r>
      <w:r w:rsidRPr="00040CF3">
        <w:rPr>
          <w:rFonts w:ascii="Arial" w:hAnsi="Arial" w:cs="Arial"/>
          <w:sz w:val="24"/>
          <w:szCs w:val="24"/>
        </w:rPr>
        <w:t>C</w:t>
      </w:r>
      <w:r>
        <w:rPr>
          <w:rFonts w:ascii="Arial" w:hAnsi="Arial" w:cs="Arial"/>
          <w:sz w:val="24"/>
          <w:szCs w:val="24"/>
        </w:rPr>
        <w:t>ouncil</w:t>
      </w:r>
      <w:r w:rsidRPr="00040CF3">
        <w:rPr>
          <w:rFonts w:ascii="Arial" w:hAnsi="Arial" w:cs="Arial"/>
          <w:sz w:val="24"/>
          <w:szCs w:val="24"/>
        </w:rPr>
        <w:t xml:space="preserve"> at </w:t>
      </w:r>
      <w:r>
        <w:rPr>
          <w:rFonts w:ascii="Arial" w:hAnsi="Arial" w:cs="Arial"/>
          <w:sz w:val="24"/>
          <w:szCs w:val="24"/>
        </w:rPr>
        <w:t>S</w:t>
      </w:r>
      <w:r w:rsidRPr="00040CF3">
        <w:rPr>
          <w:rFonts w:ascii="Arial" w:hAnsi="Arial" w:cs="Arial"/>
          <w:sz w:val="24"/>
          <w:szCs w:val="24"/>
        </w:rPr>
        <w:t xml:space="preserve">tage 3 and 5 </w:t>
      </w:r>
      <w:r>
        <w:rPr>
          <w:rFonts w:ascii="Arial" w:hAnsi="Arial" w:cs="Arial"/>
          <w:sz w:val="24"/>
          <w:szCs w:val="24"/>
        </w:rPr>
        <w:t xml:space="preserve">approval </w:t>
      </w:r>
      <w:r w:rsidRPr="00040CF3">
        <w:rPr>
          <w:rFonts w:ascii="Arial" w:hAnsi="Arial" w:cs="Arial"/>
          <w:sz w:val="24"/>
          <w:szCs w:val="24"/>
        </w:rPr>
        <w:t>events.</w:t>
      </w:r>
      <w:r>
        <w:rPr>
          <w:rFonts w:ascii="Arial" w:hAnsi="Arial" w:cs="Arial"/>
          <w:sz w:val="24"/>
          <w:szCs w:val="24"/>
        </w:rPr>
        <w:t xml:space="preserve"> </w:t>
      </w:r>
      <w:r w:rsidRPr="00040CF3">
        <w:rPr>
          <w:rFonts w:ascii="Arial" w:hAnsi="Arial" w:cs="Arial"/>
          <w:sz w:val="24"/>
          <w:szCs w:val="24"/>
        </w:rPr>
        <w:t xml:space="preserve"> </w:t>
      </w:r>
      <w:r w:rsidRPr="00040CF3">
        <w:rPr>
          <w:rFonts w:ascii="Arial" w:hAnsi="Arial" w:cs="Arial"/>
          <w:bCs/>
          <w:sz w:val="24"/>
          <w:szCs w:val="24"/>
        </w:rPr>
        <w:t xml:space="preserve">Professor Murphy noted that the draft regulations were discrete for </w:t>
      </w:r>
      <w:r>
        <w:rPr>
          <w:rFonts w:ascii="Arial" w:hAnsi="Arial" w:cs="Arial"/>
          <w:bCs/>
          <w:sz w:val="24"/>
          <w:szCs w:val="24"/>
        </w:rPr>
        <w:t>the</w:t>
      </w:r>
      <w:r w:rsidRPr="00040CF3">
        <w:rPr>
          <w:rFonts w:ascii="Arial" w:hAnsi="Arial" w:cs="Arial"/>
          <w:bCs/>
          <w:sz w:val="24"/>
          <w:szCs w:val="24"/>
        </w:rPr>
        <w:t xml:space="preserve"> new award and </w:t>
      </w:r>
      <w:r>
        <w:rPr>
          <w:rFonts w:ascii="Arial" w:hAnsi="Arial" w:cs="Arial"/>
          <w:bCs/>
          <w:sz w:val="24"/>
          <w:szCs w:val="24"/>
        </w:rPr>
        <w:t>w</w:t>
      </w:r>
      <w:r w:rsidRPr="00040CF3">
        <w:rPr>
          <w:rFonts w:ascii="Arial" w:hAnsi="Arial" w:cs="Arial"/>
          <w:bCs/>
          <w:sz w:val="24"/>
          <w:szCs w:val="24"/>
        </w:rPr>
        <w:t>ould not serve as a precedent for other courses.</w:t>
      </w:r>
      <w:r>
        <w:rPr>
          <w:rFonts w:ascii="Arial" w:hAnsi="Arial" w:cs="Arial"/>
          <w:bCs/>
          <w:sz w:val="24"/>
          <w:szCs w:val="24"/>
        </w:rPr>
        <w:t xml:space="preserve">  They followed some of the conventions of this subject area including the use of Bachelor’s awards for postgraduate achievement and the absence of overall grading with provision for grading in four disciplines.</w:t>
      </w:r>
    </w:p>
    <w:p w14:paraId="69E9E608" w14:textId="77777777" w:rsidR="00696F5E" w:rsidRDefault="00696F5E" w:rsidP="00696F5E">
      <w:pPr>
        <w:tabs>
          <w:tab w:val="right" w:pos="9746"/>
        </w:tabs>
        <w:spacing w:after="0" w:line="240" w:lineRule="auto"/>
        <w:ind w:hanging="851"/>
        <w:jc w:val="both"/>
        <w:rPr>
          <w:rFonts w:ascii="Arial" w:hAnsi="Arial" w:cs="Arial"/>
          <w:bCs/>
          <w:sz w:val="24"/>
          <w:szCs w:val="24"/>
        </w:rPr>
      </w:pPr>
    </w:p>
    <w:p w14:paraId="4D2AA6BC" w14:textId="1E22CC8C" w:rsidR="00696F5E" w:rsidRDefault="00696F5E" w:rsidP="00696F5E">
      <w:pPr>
        <w:tabs>
          <w:tab w:val="right" w:pos="9746"/>
        </w:tabs>
        <w:spacing w:after="0" w:line="240" w:lineRule="auto"/>
        <w:ind w:hanging="851"/>
        <w:jc w:val="both"/>
        <w:rPr>
          <w:rFonts w:ascii="Arial" w:hAnsi="Arial" w:cs="Arial"/>
          <w:bCs/>
          <w:sz w:val="24"/>
          <w:szCs w:val="24"/>
        </w:rPr>
      </w:pPr>
      <w:r>
        <w:rPr>
          <w:rFonts w:ascii="Arial" w:hAnsi="Arial" w:cs="Arial"/>
          <w:bCs/>
          <w:sz w:val="24"/>
          <w:szCs w:val="24"/>
        </w:rPr>
        <w:tab/>
      </w:r>
      <w:r>
        <w:rPr>
          <w:rFonts w:ascii="Arial" w:hAnsi="Arial" w:cs="Arial"/>
          <w:bCs/>
          <w:sz w:val="24"/>
          <w:szCs w:val="24"/>
        </w:rPr>
        <w:t>Professor McKillop thanked Mr Faulkner and Ms Troy for their comments and assistance in preparing the regulations.  She noted that the course featured assessment in three ‘domains’ across each year of study and that translation to an Ulster template had been a complex exercise.  The Ulster Honours degree classifications would only operate for the exit award and only one discretionary third attempt would be permitted during a student’s period of study.</w:t>
      </w:r>
    </w:p>
    <w:p w14:paraId="784B4E5D" w14:textId="77777777" w:rsidR="00696F5E" w:rsidRDefault="00696F5E" w:rsidP="00696F5E">
      <w:pPr>
        <w:tabs>
          <w:tab w:val="right" w:pos="9746"/>
        </w:tabs>
        <w:spacing w:after="0" w:line="240" w:lineRule="auto"/>
        <w:ind w:hanging="851"/>
        <w:jc w:val="both"/>
        <w:rPr>
          <w:rFonts w:ascii="Arial" w:hAnsi="Arial" w:cs="Arial"/>
          <w:bCs/>
          <w:sz w:val="24"/>
          <w:szCs w:val="24"/>
        </w:rPr>
      </w:pPr>
    </w:p>
    <w:p w14:paraId="7C0A3E57" w14:textId="380DDF9E" w:rsidR="00696F5E" w:rsidRDefault="00696F5E" w:rsidP="00696F5E">
      <w:pPr>
        <w:tabs>
          <w:tab w:val="right" w:pos="9746"/>
        </w:tabs>
        <w:spacing w:after="0" w:line="240" w:lineRule="auto"/>
        <w:ind w:hanging="851"/>
        <w:jc w:val="both"/>
        <w:rPr>
          <w:rFonts w:ascii="Arial" w:hAnsi="Arial" w:cs="Arial"/>
          <w:bCs/>
          <w:sz w:val="24"/>
          <w:szCs w:val="24"/>
        </w:rPr>
      </w:pPr>
      <w:r>
        <w:rPr>
          <w:rFonts w:ascii="Arial" w:hAnsi="Arial" w:cs="Arial"/>
          <w:bCs/>
          <w:sz w:val="24"/>
          <w:szCs w:val="24"/>
        </w:rPr>
        <w:tab/>
      </w:r>
      <w:r>
        <w:rPr>
          <w:rFonts w:ascii="Arial" w:hAnsi="Arial" w:cs="Arial"/>
          <w:bCs/>
          <w:sz w:val="24"/>
          <w:szCs w:val="24"/>
        </w:rPr>
        <w:t>Mr Faulkner advised that  a number of minor changes had been referred to the Faculty and that a finalised set of the draft regulations would be provided as an appendix to the minutes for Senate’s approval.</w:t>
      </w:r>
    </w:p>
    <w:p w14:paraId="300699D9" w14:textId="77777777" w:rsidR="00696F5E" w:rsidRPr="00040CF3" w:rsidRDefault="00696F5E" w:rsidP="00696F5E">
      <w:pPr>
        <w:tabs>
          <w:tab w:val="right" w:pos="9746"/>
        </w:tabs>
        <w:spacing w:after="0" w:line="240" w:lineRule="auto"/>
        <w:ind w:hanging="851"/>
        <w:jc w:val="both"/>
        <w:rPr>
          <w:rFonts w:ascii="Arial" w:hAnsi="Arial" w:cs="Arial"/>
          <w:bCs/>
          <w:sz w:val="24"/>
          <w:szCs w:val="24"/>
        </w:rPr>
      </w:pPr>
    </w:p>
    <w:p w14:paraId="0848F89F" w14:textId="07487230" w:rsidR="00696F5E" w:rsidRDefault="00696F5E" w:rsidP="00696F5E">
      <w:pPr>
        <w:tabs>
          <w:tab w:val="right" w:pos="9746"/>
        </w:tabs>
        <w:spacing w:after="0" w:line="240" w:lineRule="auto"/>
        <w:ind w:hanging="851"/>
        <w:jc w:val="both"/>
        <w:rPr>
          <w:rFonts w:ascii="Arial" w:hAnsi="Arial" w:cs="Arial"/>
          <w:sz w:val="24"/>
          <w:szCs w:val="24"/>
        </w:rPr>
      </w:pPr>
      <w:r>
        <w:rPr>
          <w:rFonts w:ascii="Arial" w:hAnsi="Arial" w:cs="Arial"/>
          <w:sz w:val="24"/>
          <w:szCs w:val="24"/>
        </w:rPr>
        <w:tab/>
      </w:r>
      <w:r>
        <w:rPr>
          <w:rFonts w:ascii="Arial" w:hAnsi="Arial" w:cs="Arial"/>
          <w:sz w:val="24"/>
          <w:szCs w:val="24"/>
        </w:rPr>
        <w:t>AGREED that:</w:t>
      </w:r>
      <w:bookmarkStart w:id="0" w:name="_GoBack"/>
      <w:bookmarkEnd w:id="0"/>
    </w:p>
    <w:p w14:paraId="7276969E" w14:textId="77777777" w:rsidR="00696F5E" w:rsidRPr="00040CF3" w:rsidRDefault="00696F5E" w:rsidP="00696F5E">
      <w:pPr>
        <w:tabs>
          <w:tab w:val="right" w:pos="9746"/>
        </w:tabs>
        <w:spacing w:after="0" w:line="240" w:lineRule="auto"/>
        <w:ind w:hanging="851"/>
        <w:jc w:val="both"/>
        <w:rPr>
          <w:rFonts w:ascii="Arial" w:hAnsi="Arial" w:cs="Arial"/>
          <w:sz w:val="24"/>
          <w:szCs w:val="24"/>
        </w:rPr>
      </w:pPr>
    </w:p>
    <w:p w14:paraId="613B1328" w14:textId="325AC31E" w:rsidR="00696F5E" w:rsidRDefault="00696F5E" w:rsidP="00696F5E">
      <w:pPr>
        <w:pStyle w:val="ListParagraph"/>
        <w:numPr>
          <w:ilvl w:val="0"/>
          <w:numId w:val="1"/>
        </w:numPr>
        <w:tabs>
          <w:tab w:val="right" w:pos="9746"/>
        </w:tabs>
        <w:spacing w:after="0" w:line="240" w:lineRule="auto"/>
        <w:ind w:left="426" w:hanging="426"/>
        <w:jc w:val="both"/>
        <w:rPr>
          <w:rFonts w:ascii="Arial" w:hAnsi="Arial" w:cs="Arial"/>
          <w:sz w:val="24"/>
          <w:szCs w:val="24"/>
        </w:rPr>
      </w:pPr>
      <w:r w:rsidRPr="005C77FE">
        <w:rPr>
          <w:rFonts w:ascii="Arial" w:hAnsi="Arial" w:cs="Arial"/>
          <w:sz w:val="24"/>
          <w:szCs w:val="24"/>
        </w:rPr>
        <w:t>subject to minor revision, the draft regulations</w:t>
      </w:r>
      <w:r w:rsidRPr="005C77FE">
        <w:rPr>
          <w:rFonts w:ascii="Arial" w:hAnsi="Arial" w:cs="Arial"/>
          <w:b/>
          <w:bCs/>
          <w:sz w:val="24"/>
          <w:szCs w:val="24"/>
        </w:rPr>
        <w:t xml:space="preserve"> </w:t>
      </w:r>
      <w:r w:rsidRPr="005C77FE">
        <w:rPr>
          <w:rFonts w:ascii="Arial" w:hAnsi="Arial" w:cs="Arial"/>
          <w:bCs/>
          <w:sz w:val="24"/>
          <w:szCs w:val="24"/>
        </w:rPr>
        <w:t>be endorsed</w:t>
      </w:r>
      <w:r w:rsidRPr="005C77FE">
        <w:rPr>
          <w:rFonts w:ascii="Arial" w:hAnsi="Arial" w:cs="Arial"/>
          <w:sz w:val="24"/>
          <w:szCs w:val="24"/>
        </w:rPr>
        <w:t xml:space="preserve"> and recommended to Senate for approval (Appendix </w:t>
      </w:r>
      <w:r>
        <w:rPr>
          <w:rFonts w:ascii="Arial" w:hAnsi="Arial" w:cs="Arial"/>
          <w:sz w:val="24"/>
          <w:szCs w:val="24"/>
        </w:rPr>
        <w:t>4</w:t>
      </w:r>
      <w:r w:rsidRPr="005C77FE">
        <w:rPr>
          <w:rFonts w:ascii="Arial" w:hAnsi="Arial" w:cs="Arial"/>
          <w:sz w:val="24"/>
          <w:szCs w:val="24"/>
        </w:rPr>
        <w:t>)</w:t>
      </w:r>
      <w:r>
        <w:rPr>
          <w:rFonts w:ascii="Arial" w:hAnsi="Arial" w:cs="Arial"/>
          <w:sz w:val="24"/>
          <w:szCs w:val="24"/>
        </w:rPr>
        <w:t>;</w:t>
      </w:r>
    </w:p>
    <w:p w14:paraId="5EFC2AB7" w14:textId="77777777" w:rsidR="00696F5E" w:rsidRDefault="00696F5E" w:rsidP="00696F5E">
      <w:pPr>
        <w:pStyle w:val="ListParagraph"/>
        <w:tabs>
          <w:tab w:val="right" w:pos="9746"/>
        </w:tabs>
        <w:spacing w:after="0" w:line="240" w:lineRule="auto"/>
        <w:ind w:left="426" w:hanging="426"/>
        <w:jc w:val="both"/>
        <w:rPr>
          <w:rFonts w:ascii="Arial" w:hAnsi="Arial" w:cs="Arial"/>
          <w:sz w:val="24"/>
          <w:szCs w:val="24"/>
        </w:rPr>
      </w:pPr>
    </w:p>
    <w:p w14:paraId="365BB26B" w14:textId="0BF56BF3" w:rsidR="00696F5E" w:rsidRPr="00696F5E" w:rsidRDefault="00696F5E" w:rsidP="00696F5E">
      <w:pPr>
        <w:pStyle w:val="ListParagraph"/>
        <w:numPr>
          <w:ilvl w:val="0"/>
          <w:numId w:val="1"/>
        </w:numPr>
        <w:tabs>
          <w:tab w:val="right" w:pos="9746"/>
        </w:tabs>
        <w:spacing w:after="0" w:line="240" w:lineRule="auto"/>
        <w:ind w:left="426" w:hanging="426"/>
        <w:jc w:val="both"/>
        <w:rPr>
          <w:rFonts w:ascii="Arial" w:hAnsi="Arial" w:cs="Arial"/>
          <w:sz w:val="24"/>
          <w:szCs w:val="24"/>
        </w:rPr>
      </w:pPr>
      <w:r w:rsidRPr="00696F5E">
        <w:rPr>
          <w:rFonts w:ascii="Arial" w:hAnsi="Arial" w:cs="Arial"/>
          <w:sz w:val="24"/>
          <w:szCs w:val="24"/>
        </w:rPr>
        <w:t>it be recommended to Senate and Council that the new award of Bachelor of Medicine, Bachelor of Surgery (MBBS) be added to the Schedule to Ordinance XXIX, Degrees, Diplomas, Certificates and Other Academic Distinctions.</w:t>
      </w:r>
    </w:p>
    <w:sectPr w:rsidR="00696F5E" w:rsidRPr="00696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21D75"/>
    <w:multiLevelType w:val="hybridMultilevel"/>
    <w:tmpl w:val="8392E296"/>
    <w:lvl w:ilvl="0" w:tplc="FC9EE59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5E"/>
    <w:rsid w:val="0069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4F5E"/>
  <w15:chartTrackingRefBased/>
  <w15:docId w15:val="{883924AC-A3D6-4238-B1E4-52F0AAE7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5E"/>
    <w:pPr>
      <w:suppressAutoHyphens/>
      <w:spacing w:line="252"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33F19-B514-403C-A3FA-A090DE98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F0758-F291-4521-84B9-AED3747189F4}">
  <ds:schemaRefs>
    <ds:schemaRef ds:uri="http://schemas.microsoft.com/sharepoint/v3/contenttype/forms"/>
  </ds:schemaRefs>
</ds:datastoreItem>
</file>

<file path=customXml/itemProps3.xml><?xml version="1.0" encoding="utf-8"?>
<ds:datastoreItem xmlns:ds="http://schemas.openxmlformats.org/officeDocument/2006/customXml" ds:itemID="{2EE58DFE-05E7-45DD-8625-126A7F3E2447}">
  <ds:schemaRefs>
    <ds:schemaRef ds:uri="http://purl.org/dc/elements/1.1/"/>
    <ds:schemaRef ds:uri="http://schemas.microsoft.com/office/2006/metadata/properties"/>
    <ds:schemaRef ds:uri="74d9d59e-890c-483a-987e-78fa923dc9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7e0b50-5011-4b11-84ba-93af64649f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2021-03-25T11:18:00Z</dcterms:created>
  <dcterms:modified xsi:type="dcterms:W3CDTF">2021-03-25T11:27:00Z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