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054D" w14:textId="77777777" w:rsidR="00D2571B" w:rsidRDefault="00DF1636">
      <w:pPr>
        <w:suppressAutoHyphens w:val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ULSTER UNIVERSITY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 xml:space="preserve">                  </w:t>
      </w:r>
    </w:p>
    <w:p w14:paraId="5A844080" w14:textId="77777777" w:rsidR="00D2571B" w:rsidRDefault="00DF1636">
      <w:pPr>
        <w:suppressAutoHyphens w:val="0"/>
      </w:pPr>
      <w:r>
        <w:rPr>
          <w:rFonts w:ascii="Times New Roman" w:hAnsi="Times New Roman"/>
          <w:bCs/>
          <w:lang w:val="en-GB"/>
        </w:rPr>
        <w:t xml:space="preserve">COLLABORATIVE PARTNERSHIPS FORUM                                                                    </w:t>
      </w:r>
      <w:r>
        <w:rPr>
          <w:rFonts w:ascii="Times New Roman" w:hAnsi="Times New Roman"/>
          <w:b/>
          <w:bCs/>
          <w:lang w:val="en-GB"/>
        </w:rPr>
        <w:t>CPF/20/06</w:t>
      </w:r>
    </w:p>
    <w:p w14:paraId="1EAB4D23" w14:textId="77777777" w:rsidR="00D2571B" w:rsidRDefault="00DF1636">
      <w:pPr>
        <w:suppressAutoHyphens w:val="0"/>
      </w:pPr>
      <w:r>
        <w:rPr>
          <w:rFonts w:ascii="Times New Roman" w:hAnsi="Times New Roman"/>
          <w:bCs/>
          <w:lang w:val="en-GB"/>
        </w:rPr>
        <w:t xml:space="preserve">30 September 2020 </w:t>
      </w:r>
      <w:r>
        <w:rPr>
          <w:rFonts w:ascii="Times New Roman" w:hAnsi="Times New Roman"/>
          <w:bCs/>
          <w:lang w:val="en-GB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en-GB"/>
        </w:rPr>
        <w:t>Agenda Item: 8</w:t>
      </w:r>
    </w:p>
    <w:p w14:paraId="2CBAFB01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1C3C0D30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46D2AA47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1ADB3658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66C08B8F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03B6D2A2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17BB30A0" w14:textId="77777777" w:rsidR="00D2571B" w:rsidRDefault="00D2571B">
      <w:pPr>
        <w:suppressAutoHyphens w:val="0"/>
        <w:rPr>
          <w:rFonts w:ascii="Times New Roman" w:hAnsi="Times New Roman"/>
          <w:b/>
          <w:bCs/>
          <w:lang w:val="en-GB"/>
        </w:rPr>
      </w:pPr>
    </w:p>
    <w:p w14:paraId="03451E34" w14:textId="77777777" w:rsidR="00D2571B" w:rsidRDefault="00DF1636">
      <w:pPr>
        <w:suppressAutoHyphens w:val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CONTINUOUS ASSURANCE OF QUALITY ENHANCEMENT (CAQE)  </w:t>
      </w:r>
    </w:p>
    <w:p w14:paraId="0DA46D96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780CCBEA" w14:textId="77777777" w:rsidR="00D2571B" w:rsidRDefault="00DF1636">
      <w:pPr>
        <w:suppressAutoHyphens w:val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To receive a report on Continuous Assurance of Quality Enhancement (CAQE).</w:t>
      </w:r>
    </w:p>
    <w:p w14:paraId="1DF7B83C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4363A2C0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60676821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7A12A5A8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386A1EE9" w14:textId="77777777" w:rsidR="00D2571B" w:rsidRDefault="00DF1636">
      <w:pPr>
        <w:suppressAutoHyphens w:val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ACTION</w:t>
      </w:r>
    </w:p>
    <w:p w14:paraId="5A30944E" w14:textId="77777777" w:rsidR="00D2571B" w:rsidRDefault="00D2571B">
      <w:pPr>
        <w:suppressAutoHyphens w:val="0"/>
        <w:rPr>
          <w:rFonts w:ascii="Times New Roman" w:hAnsi="Times New Roman"/>
          <w:bCs/>
          <w:lang w:val="en-GB"/>
        </w:rPr>
      </w:pPr>
    </w:p>
    <w:p w14:paraId="14B64F01" w14:textId="77777777" w:rsidR="00D2571B" w:rsidRDefault="00DF1636">
      <w:pPr>
        <w:suppressAutoHyphens w:val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For information.</w:t>
      </w:r>
    </w:p>
    <w:p w14:paraId="31018499" w14:textId="77777777" w:rsidR="00D2571B" w:rsidRDefault="00D2571B">
      <w:pPr>
        <w:pageBreakBefore/>
        <w:suppressAutoHyphens w:val="0"/>
        <w:rPr>
          <w:rFonts w:ascii="Times New Roman" w:hAnsi="Times New Roman"/>
          <w:bCs/>
          <w:lang w:val="en-GB"/>
        </w:rPr>
      </w:pPr>
    </w:p>
    <w:p w14:paraId="2248B401" w14:textId="77777777" w:rsidR="00D2571B" w:rsidRDefault="00DF1636">
      <w:pPr>
        <w:rPr>
          <w:b/>
          <w:bCs/>
          <w:lang w:val="en-GB"/>
        </w:rPr>
      </w:pPr>
      <w:r>
        <w:rPr>
          <w:b/>
          <w:bCs/>
          <w:lang w:val="en-GB"/>
        </w:rPr>
        <w:t>CONTINUOUS ASSURANCE OF QUALITY ENHANCEMENT (COLLABORATIVE PROVISION) 2019/20</w:t>
      </w:r>
    </w:p>
    <w:p w14:paraId="5A2E5CB5" w14:textId="77777777" w:rsidR="00D2571B" w:rsidRDefault="00D2571B">
      <w:pPr>
        <w:rPr>
          <w:lang w:val="en-GB"/>
        </w:rPr>
      </w:pPr>
    </w:p>
    <w:p w14:paraId="3FA77D7F" w14:textId="77777777" w:rsidR="00D2571B" w:rsidRDefault="00D2571B">
      <w:pPr>
        <w:rPr>
          <w:lang w:val="en-GB"/>
        </w:rPr>
      </w:pPr>
    </w:p>
    <w:p w14:paraId="178640A3" w14:textId="77777777" w:rsidR="00D2571B" w:rsidRDefault="00DF1636">
      <w:pPr>
        <w:rPr>
          <w:lang w:val="en-GB"/>
        </w:rPr>
      </w:pPr>
      <w:r>
        <w:rPr>
          <w:lang w:val="en-GB"/>
        </w:rPr>
        <w:t xml:space="preserve">At its meeting on 4 June 2020 the University’s Academic Standards and Quality Enhancement Committee (ASQEC) approved the </w:t>
      </w:r>
      <w:r>
        <w:rPr>
          <w:lang w:val="en-GB"/>
        </w:rPr>
        <w:t>recommendation that the pilot Continuous Assurance of Quality Enhancement process for collaborative activity be adopted in full.</w:t>
      </w:r>
    </w:p>
    <w:p w14:paraId="146A7C58" w14:textId="77777777" w:rsidR="00D2571B" w:rsidRDefault="00D2571B">
      <w:pPr>
        <w:rPr>
          <w:lang w:val="en-GB"/>
        </w:rPr>
      </w:pPr>
    </w:p>
    <w:p w14:paraId="5430E840" w14:textId="77777777" w:rsidR="00D2571B" w:rsidRDefault="00DF1636">
      <w:pPr>
        <w:rPr>
          <w:lang w:val="en-GB"/>
        </w:rPr>
      </w:pPr>
      <w:r>
        <w:rPr>
          <w:lang w:val="en-GB"/>
        </w:rPr>
        <w:t>This paper details the arrangements for the 2019/20 review of collaborative activity.</w:t>
      </w:r>
    </w:p>
    <w:p w14:paraId="734AC680" w14:textId="77777777" w:rsidR="00D2571B" w:rsidRDefault="00D2571B">
      <w:pPr>
        <w:rPr>
          <w:lang w:val="en-GB"/>
        </w:rPr>
      </w:pPr>
    </w:p>
    <w:p w14:paraId="16AE01E1" w14:textId="77777777" w:rsidR="00D2571B" w:rsidRDefault="00DF163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Indictive Timetable </w:t>
      </w:r>
    </w:p>
    <w:p w14:paraId="2C8AE570" w14:textId="77777777" w:rsidR="00D2571B" w:rsidRDefault="00D2571B">
      <w:pPr>
        <w:rPr>
          <w:u w:val="single"/>
          <w:lang w:val="en-GB"/>
        </w:rPr>
      </w:pPr>
    </w:p>
    <w:p w14:paraId="6790C537" w14:textId="77777777" w:rsidR="00D2571B" w:rsidRDefault="00DF1636">
      <w:pPr>
        <w:rPr>
          <w:lang w:val="en-GB"/>
        </w:rPr>
      </w:pPr>
      <w:r>
        <w:rPr>
          <w:lang w:val="en-GB"/>
        </w:rPr>
        <w:t xml:space="preserve">1 October 2020: </w:t>
      </w:r>
      <w:r>
        <w:rPr>
          <w:lang w:val="en-GB"/>
        </w:rPr>
        <w:tab/>
      </w:r>
      <w:r>
        <w:rPr>
          <w:lang w:val="en-GB"/>
        </w:rPr>
        <w:tab/>
        <w:t>Quality Enhancement (QE) generates data sets</w:t>
      </w:r>
    </w:p>
    <w:p w14:paraId="37EAAC6B" w14:textId="77777777" w:rsidR="00D2571B" w:rsidRDefault="00DF1636">
      <w:pPr>
        <w:rPr>
          <w:lang w:val="en-GB"/>
        </w:rPr>
      </w:pPr>
      <w:r>
        <w:rPr>
          <w:lang w:val="en-GB"/>
        </w:rPr>
        <w:t xml:space="preserve">9 October 2020: </w:t>
      </w:r>
      <w:r>
        <w:rPr>
          <w:lang w:val="en-GB"/>
        </w:rPr>
        <w:tab/>
      </w:r>
      <w:r>
        <w:rPr>
          <w:lang w:val="en-GB"/>
        </w:rPr>
        <w:tab/>
        <w:t>Data sets sent to Faculties</w:t>
      </w:r>
    </w:p>
    <w:p w14:paraId="40E54BC1" w14:textId="77777777" w:rsidR="00D2571B" w:rsidRDefault="00DF1636">
      <w:pPr>
        <w:ind w:left="2880" w:hanging="2880"/>
        <w:rPr>
          <w:lang w:val="en-GB"/>
        </w:rPr>
      </w:pPr>
      <w:r>
        <w:rPr>
          <w:lang w:val="en-GB"/>
        </w:rPr>
        <w:t xml:space="preserve">12 October-28 October: </w:t>
      </w:r>
      <w:r>
        <w:rPr>
          <w:lang w:val="en-GB"/>
        </w:rPr>
        <w:tab/>
        <w:t>Associate Dean (Education) and Faculty Partnership Manager (FPM) analyses data sets to identify programmes requiring Action Plans</w:t>
      </w:r>
    </w:p>
    <w:p w14:paraId="3797FE82" w14:textId="77777777" w:rsidR="00D2571B" w:rsidRDefault="00DF1636">
      <w:pPr>
        <w:rPr>
          <w:lang w:val="en-GB"/>
        </w:rPr>
      </w:pPr>
      <w:r>
        <w:rPr>
          <w:lang w:val="en-GB"/>
        </w:rPr>
        <w:t xml:space="preserve">28-30 </w:t>
      </w:r>
      <w:r>
        <w:rPr>
          <w:lang w:val="en-GB"/>
        </w:rPr>
        <w:t xml:space="preserve">October 2020: </w:t>
      </w:r>
      <w:r>
        <w:rPr>
          <w:lang w:val="en-GB"/>
        </w:rPr>
        <w:tab/>
      </w:r>
      <w:r>
        <w:rPr>
          <w:lang w:val="en-GB"/>
        </w:rPr>
        <w:tab/>
        <w:t>Faculty notifies QE of programmes requiring Action Plans</w:t>
      </w:r>
    </w:p>
    <w:p w14:paraId="5D0BA16F" w14:textId="77777777" w:rsidR="00D2571B" w:rsidRDefault="00DF1636">
      <w:pPr>
        <w:ind w:left="2880" w:hanging="2880"/>
        <w:rPr>
          <w:lang w:val="en-GB"/>
        </w:rPr>
      </w:pPr>
      <w:r>
        <w:rPr>
          <w:lang w:val="en-GB"/>
        </w:rPr>
        <w:t xml:space="preserve">W/C 2 November 2020: </w:t>
      </w:r>
      <w:r>
        <w:rPr>
          <w:lang w:val="en-GB"/>
        </w:rPr>
        <w:tab/>
        <w:t>College notified of programmes requiring Action Plans (1 letter per College to HE Co-ordinator)</w:t>
      </w:r>
    </w:p>
    <w:p w14:paraId="223D01DB" w14:textId="77777777" w:rsidR="00D2571B" w:rsidRDefault="00DF1636">
      <w:pPr>
        <w:rPr>
          <w:lang w:val="en-GB"/>
        </w:rPr>
      </w:pPr>
      <w:r>
        <w:rPr>
          <w:lang w:val="en-GB"/>
        </w:rPr>
        <w:t xml:space="preserve">20 November 2020: </w:t>
      </w:r>
      <w:r>
        <w:rPr>
          <w:lang w:val="en-GB"/>
        </w:rPr>
        <w:tab/>
      </w:r>
      <w:r>
        <w:rPr>
          <w:lang w:val="en-GB"/>
        </w:rPr>
        <w:tab/>
        <w:t>Completed Action Plans returned to QE</w:t>
      </w:r>
    </w:p>
    <w:p w14:paraId="197D02EE" w14:textId="77777777" w:rsidR="00D2571B" w:rsidRDefault="00DF1636">
      <w:pPr>
        <w:rPr>
          <w:lang w:val="en-GB"/>
        </w:rPr>
      </w:pPr>
      <w:r>
        <w:rPr>
          <w:lang w:val="en-GB"/>
        </w:rPr>
        <w:t>23 Nove</w:t>
      </w:r>
      <w:r>
        <w:rPr>
          <w:lang w:val="en-GB"/>
        </w:rPr>
        <w:t xml:space="preserve">mber-11 December: </w:t>
      </w:r>
      <w:r>
        <w:rPr>
          <w:lang w:val="en-GB"/>
        </w:rPr>
        <w:tab/>
        <w:t>Faculty reviews Action Plan</w:t>
      </w:r>
    </w:p>
    <w:p w14:paraId="6BE62C2A" w14:textId="77777777" w:rsidR="00D2571B" w:rsidRDefault="00DF1636">
      <w:pPr>
        <w:rPr>
          <w:lang w:val="en-GB"/>
        </w:rPr>
      </w:pPr>
      <w:r>
        <w:rPr>
          <w:lang w:val="en-GB"/>
        </w:rPr>
        <w:t xml:space="preserve">January 2021: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Meetings with Senior Management (if required)</w:t>
      </w:r>
    </w:p>
    <w:p w14:paraId="783940F0" w14:textId="77777777" w:rsidR="00D2571B" w:rsidRDefault="00DF1636">
      <w:pPr>
        <w:rPr>
          <w:lang w:val="en-GB"/>
        </w:rPr>
      </w:pPr>
      <w:r>
        <w:rPr>
          <w:lang w:val="en-GB"/>
        </w:rPr>
        <w:t>March 2021: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>Report to ASQEC</w:t>
      </w:r>
    </w:p>
    <w:p w14:paraId="477D36CA" w14:textId="77777777" w:rsidR="00D2571B" w:rsidRDefault="00D2571B">
      <w:pPr>
        <w:rPr>
          <w:lang w:val="en-GB"/>
        </w:rPr>
      </w:pPr>
    </w:p>
    <w:p w14:paraId="29ABCA1C" w14:textId="77777777" w:rsidR="00D2571B" w:rsidRDefault="00D2571B">
      <w:pPr>
        <w:rPr>
          <w:lang w:val="en-GB"/>
        </w:rPr>
      </w:pPr>
    </w:p>
    <w:p w14:paraId="3E756F23" w14:textId="77777777" w:rsidR="00D2571B" w:rsidRDefault="00DF163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University Benchmarks</w:t>
      </w:r>
    </w:p>
    <w:p w14:paraId="3A3558D3" w14:textId="77777777" w:rsidR="00D2571B" w:rsidRDefault="00D2571B">
      <w:pPr>
        <w:rPr>
          <w:u w:val="single"/>
          <w:lang w:val="en-GB"/>
        </w:rPr>
      </w:pPr>
    </w:p>
    <w:p w14:paraId="2B9D5897" w14:textId="77777777" w:rsidR="00D2571B" w:rsidRDefault="00DF1636">
      <w:pPr>
        <w:rPr>
          <w:lang w:val="en-GB"/>
        </w:rPr>
      </w:pPr>
      <w:r>
        <w:rPr>
          <w:lang w:val="en-GB"/>
        </w:rPr>
        <w:t>Cohort size &lt;10</w:t>
      </w:r>
    </w:p>
    <w:p w14:paraId="4E5C6CB3" w14:textId="77777777" w:rsidR="00D2571B" w:rsidRDefault="00D2571B">
      <w:pPr>
        <w:rPr>
          <w:u w:val="single"/>
          <w:lang w:val="en-GB"/>
        </w:rPr>
      </w:pPr>
    </w:p>
    <w:p w14:paraId="4AC2F2AE" w14:textId="77777777" w:rsidR="00D2571B" w:rsidRDefault="00DF1636">
      <w:pPr>
        <w:rPr>
          <w:lang w:val="en-GB"/>
        </w:rPr>
      </w:pPr>
      <w:r>
        <w:rPr>
          <w:lang w:val="en-GB"/>
        </w:rPr>
        <w:t>Attrition:</w:t>
      </w:r>
      <w:r>
        <w:rPr>
          <w:lang w:val="en-GB"/>
        </w:rPr>
        <w:tab/>
        <w:t>Access Programmes 20%</w:t>
      </w:r>
    </w:p>
    <w:p w14:paraId="33E4ED61" w14:textId="77777777" w:rsidR="00D2571B" w:rsidRDefault="00DF163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Foundation degrees 10%</w:t>
      </w:r>
    </w:p>
    <w:p w14:paraId="707378DA" w14:textId="77777777" w:rsidR="00D2571B" w:rsidRDefault="00D2571B">
      <w:pPr>
        <w:rPr>
          <w:lang w:val="en-GB"/>
        </w:rPr>
      </w:pPr>
    </w:p>
    <w:p w14:paraId="18F04280" w14:textId="77777777" w:rsidR="00D2571B" w:rsidRDefault="00DF1636">
      <w:pPr>
        <w:rPr>
          <w:lang w:val="en-GB"/>
        </w:rPr>
      </w:pPr>
      <w:r>
        <w:rPr>
          <w:lang w:val="en-GB"/>
        </w:rPr>
        <w:t>Success 2:</w:t>
      </w:r>
      <w:r>
        <w:rPr>
          <w:lang w:val="en-GB"/>
        </w:rPr>
        <w:tab/>
      </w:r>
      <w:r>
        <w:rPr>
          <w:lang w:val="en-GB"/>
        </w:rPr>
        <w:t>Access Programmes 70% progression</w:t>
      </w:r>
    </w:p>
    <w:p w14:paraId="5433F35A" w14:textId="77777777" w:rsidR="00D2571B" w:rsidRDefault="00DF163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Foundation degrees (Year 1) 75% progression </w:t>
      </w:r>
    </w:p>
    <w:p w14:paraId="680BAF24" w14:textId="77777777" w:rsidR="00D2571B" w:rsidRDefault="00DF163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Foundation degrees (Year 2) 80%progression</w:t>
      </w:r>
    </w:p>
    <w:p w14:paraId="234AE40D" w14:textId="77777777" w:rsidR="00D2571B" w:rsidRDefault="00D2571B">
      <w:pPr>
        <w:rPr>
          <w:lang w:val="en-GB"/>
        </w:rPr>
      </w:pPr>
    </w:p>
    <w:p w14:paraId="0B1B96C0" w14:textId="77777777" w:rsidR="00D2571B" w:rsidRDefault="00D2571B">
      <w:pPr>
        <w:rPr>
          <w:lang w:val="en-GB"/>
        </w:rPr>
      </w:pPr>
    </w:p>
    <w:p w14:paraId="3C72F6ED" w14:textId="77777777" w:rsidR="00D2571B" w:rsidRDefault="00DF1636">
      <w:pPr>
        <w:rPr>
          <w:lang w:val="en-GB"/>
        </w:rPr>
      </w:pPr>
      <w:r>
        <w:rPr>
          <w:lang w:val="en-GB"/>
        </w:rPr>
        <w:t>The Faculty will also take into account the following:</w:t>
      </w:r>
    </w:p>
    <w:p w14:paraId="2177BE43" w14:textId="77777777" w:rsidR="00D2571B" w:rsidRDefault="00D2571B">
      <w:pPr>
        <w:rPr>
          <w:lang w:val="en-GB"/>
        </w:rPr>
      </w:pPr>
    </w:p>
    <w:p w14:paraId="09CAD3DB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External Examiner reports</w:t>
      </w:r>
    </w:p>
    <w:p w14:paraId="452E1EEC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FPM reports</w:t>
      </w:r>
    </w:p>
    <w:p w14:paraId="15651D94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PSRB reports</w:t>
      </w:r>
    </w:p>
    <w:p w14:paraId="632C6213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CA3s</w:t>
      </w:r>
    </w:p>
    <w:p w14:paraId="38BB4C4B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Re-validation ou</w:t>
      </w:r>
      <w:r>
        <w:rPr>
          <w:lang w:val="en-GB"/>
        </w:rPr>
        <w:t>tcomes</w:t>
      </w:r>
    </w:p>
    <w:p w14:paraId="046AA77A" w14:textId="77777777" w:rsidR="00D2571B" w:rsidRDefault="00DF163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NSS outcomes</w:t>
      </w:r>
    </w:p>
    <w:p w14:paraId="0AA798B7" w14:textId="77777777" w:rsidR="00D2571B" w:rsidRDefault="00D2571B">
      <w:pPr>
        <w:rPr>
          <w:lang w:val="en-GB"/>
        </w:rPr>
      </w:pPr>
    </w:p>
    <w:p w14:paraId="5A9A4A18" w14:textId="77777777" w:rsidR="00D2571B" w:rsidRDefault="00D2571B">
      <w:pPr>
        <w:pageBreakBefore/>
        <w:suppressAutoHyphens w:val="0"/>
        <w:rPr>
          <w:u w:val="single"/>
          <w:lang w:val="en-GB"/>
        </w:rPr>
      </w:pPr>
    </w:p>
    <w:p w14:paraId="6C195B99" w14:textId="77777777" w:rsidR="00D2571B" w:rsidRDefault="00DF163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Outcomes from Action Plans</w:t>
      </w:r>
    </w:p>
    <w:p w14:paraId="23DBF777" w14:textId="77777777" w:rsidR="00D2571B" w:rsidRDefault="00D2571B">
      <w:pPr>
        <w:rPr>
          <w:lang w:val="en-GB"/>
        </w:rPr>
      </w:pPr>
    </w:p>
    <w:p w14:paraId="48B165E0" w14:textId="77777777" w:rsidR="00D2571B" w:rsidRDefault="00DF163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Continue with Action Plan with monitoring by FPM;</w:t>
      </w:r>
    </w:p>
    <w:p w14:paraId="589E0D74" w14:textId="77777777" w:rsidR="00D2571B" w:rsidRDefault="00DF163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Revise and resubmit Action Plan;</w:t>
      </w:r>
    </w:p>
    <w:p w14:paraId="4276F521" w14:textId="77777777" w:rsidR="00D2571B" w:rsidRDefault="00DF163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Supportive Measures meeting convened.</w:t>
      </w:r>
    </w:p>
    <w:p w14:paraId="68A6D298" w14:textId="77777777" w:rsidR="00D2571B" w:rsidRDefault="00D2571B">
      <w:pPr>
        <w:rPr>
          <w:lang w:val="en-GB"/>
        </w:rPr>
      </w:pPr>
    </w:p>
    <w:p w14:paraId="62EA08BA" w14:textId="77777777" w:rsidR="00D2571B" w:rsidRDefault="00D2571B">
      <w:pPr>
        <w:rPr>
          <w:u w:val="single"/>
          <w:lang w:val="en-GB"/>
        </w:rPr>
      </w:pPr>
    </w:p>
    <w:p w14:paraId="475DBCE8" w14:textId="77777777" w:rsidR="00D2571B" w:rsidRDefault="00DF163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Potential Outcomes from Supportive Measures Meeting</w:t>
      </w:r>
    </w:p>
    <w:p w14:paraId="7224FB5A" w14:textId="77777777" w:rsidR="00D2571B" w:rsidRDefault="00D2571B">
      <w:pPr>
        <w:rPr>
          <w:lang w:val="en-GB"/>
        </w:rPr>
      </w:pPr>
    </w:p>
    <w:p w14:paraId="0FCB9B31" w14:textId="77777777" w:rsidR="00D2571B" w:rsidRDefault="00DF163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Continue on 5-year </w:t>
      </w:r>
      <w:r>
        <w:rPr>
          <w:lang w:val="en-GB"/>
        </w:rPr>
        <w:t>re-validation cycle;</w:t>
      </w:r>
    </w:p>
    <w:p w14:paraId="110D6512" w14:textId="77777777" w:rsidR="00D2571B" w:rsidRDefault="00DF163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Expedite re-validation;</w:t>
      </w:r>
    </w:p>
    <w:p w14:paraId="49EB14D7" w14:textId="77777777" w:rsidR="00D2571B" w:rsidRDefault="00DF1636">
      <w:pPr>
        <w:pStyle w:val="ListParagraph"/>
        <w:numPr>
          <w:ilvl w:val="0"/>
          <w:numId w:val="3"/>
        </w:numPr>
      </w:pPr>
      <w:r>
        <w:rPr>
          <w:lang w:val="en-GB"/>
        </w:rPr>
        <w:t>Suspend intake.</w:t>
      </w:r>
    </w:p>
    <w:p w14:paraId="5A8B69E0" w14:textId="77777777" w:rsidR="00D2571B" w:rsidRDefault="00D2571B"/>
    <w:p w14:paraId="31699430" w14:textId="77777777" w:rsidR="00D2571B" w:rsidRDefault="00D2571B"/>
    <w:p w14:paraId="3A66B8CC" w14:textId="77777777" w:rsidR="00D2571B" w:rsidRDefault="00D2571B"/>
    <w:p w14:paraId="11CC4F44" w14:textId="77777777" w:rsidR="00D2571B" w:rsidRDefault="00DF1636">
      <w:r>
        <w:t>Hugh Deighan</w:t>
      </w:r>
    </w:p>
    <w:sectPr w:rsidR="00D2571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73BD" w14:textId="77777777" w:rsidR="00DF1636" w:rsidRDefault="00DF1636">
      <w:r>
        <w:separator/>
      </w:r>
    </w:p>
  </w:endnote>
  <w:endnote w:type="continuationSeparator" w:id="0">
    <w:p w14:paraId="715BF42D" w14:textId="77777777" w:rsidR="00DF1636" w:rsidRDefault="00D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4310" w14:textId="77777777" w:rsidR="00DF1636" w:rsidRDefault="00DF1636">
      <w:r>
        <w:rPr>
          <w:color w:val="000000"/>
        </w:rPr>
        <w:separator/>
      </w:r>
    </w:p>
  </w:footnote>
  <w:footnote w:type="continuationSeparator" w:id="0">
    <w:p w14:paraId="1D3245BB" w14:textId="77777777" w:rsidR="00DF1636" w:rsidRDefault="00DF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4ED5"/>
    <w:multiLevelType w:val="multilevel"/>
    <w:tmpl w:val="F32A1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155A4"/>
    <w:multiLevelType w:val="multilevel"/>
    <w:tmpl w:val="9D660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679"/>
    <w:multiLevelType w:val="multilevel"/>
    <w:tmpl w:val="C806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71B"/>
    <w:rsid w:val="00D2571B"/>
    <w:rsid w:val="00DF1636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4BC3A"/>
  <w15:docId w15:val="{97AB5499-76B3-3743-B48E-FE4FC18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1F4E79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rPr>
      <w:i/>
      <w:iCs/>
      <w:color w:val="1F4E79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1F4E79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C504676-71FE-4720-B676-BC2A72D65953%7dtf02786999_win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%7b8C504676-71FE-4720-B676-BC2A72D65953%7dtf02786999_win32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dc:description/>
  <cp:lastModifiedBy>Browning, Claire</cp:lastModifiedBy>
  <cp:revision>2</cp:revision>
  <dcterms:created xsi:type="dcterms:W3CDTF">2020-11-26T10:46:00Z</dcterms:created>
  <dcterms:modified xsi:type="dcterms:W3CDTF">2020-11-26T10:46:00Z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