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15A5" w14:textId="77777777" w:rsidR="006A6D0C" w:rsidRDefault="00F35B66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ULSTER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CPF/21/03</w:t>
      </w:r>
    </w:p>
    <w:p w14:paraId="107743B2" w14:textId="77777777" w:rsidR="006A6D0C" w:rsidRDefault="00F35B66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COLLABORATIVE PARTNERSHIPS FORUM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Agenda Item: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4A6CB498" w14:textId="77777777" w:rsidR="006A6D0C" w:rsidRDefault="00F35B66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January 2021</w:t>
      </w:r>
    </w:p>
    <w:p w14:paraId="4758F626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3AE7DBDC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BEA4868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5E8B48C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B630E97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2338561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D90C1DD" w14:textId="77777777" w:rsidR="006A6D0C" w:rsidRDefault="00F35B66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ASSURANCE OF QUALITY ENHANCEMENT (CAQE)</w:t>
      </w:r>
    </w:p>
    <w:p w14:paraId="456A1D24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2ECD076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206054D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C062AEB" w14:textId="77777777" w:rsidR="006A6D0C" w:rsidRDefault="00F35B66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receive a report on Continuous Assurance of Quality </w:t>
      </w:r>
      <w:r>
        <w:rPr>
          <w:rFonts w:ascii="Times New Roman" w:hAnsi="Times New Roman"/>
          <w:sz w:val="24"/>
          <w:szCs w:val="24"/>
        </w:rPr>
        <w:t>Enhancement (CAQE).</w:t>
      </w:r>
    </w:p>
    <w:p w14:paraId="73A9724D" w14:textId="77777777" w:rsidR="006A6D0C" w:rsidRDefault="006A6D0C">
      <w:pPr>
        <w:suppressAutoHyphens w:val="0"/>
        <w:spacing w:after="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4692FA9E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FA568FA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7B8EFAC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CCF83CE" w14:textId="77777777" w:rsidR="006A6D0C" w:rsidRDefault="00F35B66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ACTION:</w:t>
      </w:r>
    </w:p>
    <w:p w14:paraId="70006C5F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b/>
          <w:sz w:val="24"/>
          <w:szCs w:val="24"/>
        </w:rPr>
      </w:pPr>
    </w:p>
    <w:p w14:paraId="5B4A6023" w14:textId="77777777" w:rsidR="006A6D0C" w:rsidRDefault="006A6D0C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F5700A5" w14:textId="77777777" w:rsidR="006A6D0C" w:rsidRDefault="00F35B66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information.</w:t>
      </w:r>
    </w:p>
    <w:p w14:paraId="57C0A34A" w14:textId="77777777" w:rsidR="006A6D0C" w:rsidRDefault="006A6D0C">
      <w:pPr>
        <w:suppressAutoHyphens w:val="0"/>
        <w:spacing w:line="254" w:lineRule="auto"/>
        <w:textAlignment w:val="auto"/>
        <w:rPr>
          <w:rFonts w:ascii="Times New Roman" w:eastAsia="Arial" w:hAnsi="Times New Roman"/>
          <w:sz w:val="24"/>
          <w:szCs w:val="24"/>
        </w:rPr>
      </w:pPr>
    </w:p>
    <w:p w14:paraId="14453690" w14:textId="77777777" w:rsidR="006A6D0C" w:rsidRDefault="006A6D0C">
      <w:pPr>
        <w:suppressAutoHyphens w:val="0"/>
        <w:spacing w:line="244" w:lineRule="auto"/>
        <w:rPr>
          <w:rFonts w:cs="Calibri"/>
          <w:b/>
          <w:bCs/>
          <w:sz w:val="24"/>
          <w:szCs w:val="24"/>
        </w:rPr>
      </w:pPr>
    </w:p>
    <w:p w14:paraId="3E4ADC46" w14:textId="77777777" w:rsidR="006A6D0C" w:rsidRDefault="00F35B66">
      <w:pPr>
        <w:pageBreakBefore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CONTINUOUS ASSURANCE OF QUALITY ENHANCEMENT (COLL. PROVISION) 2019/20</w:t>
      </w:r>
    </w:p>
    <w:p w14:paraId="58F1387A" w14:textId="77777777" w:rsidR="006A6D0C" w:rsidRDefault="00F35B6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1.INTRODUCTION</w:t>
      </w:r>
    </w:p>
    <w:p w14:paraId="3910925D" w14:textId="77777777" w:rsidR="006A6D0C" w:rsidRDefault="00F35B66">
      <w:pPr>
        <w:spacing w:after="0"/>
      </w:pPr>
      <w:r>
        <w:t xml:space="preserve">At its meeting on 4 June 2020 the University’s Academic Standards and Quality Enhancement Committee (ASQEC) </w:t>
      </w:r>
      <w:r>
        <w:t>approved the recommendation that the pilot Continuous Assurance of Quality Enhancement (CAQE) process for collaborative activity be adopted in full for the 2019/20 academic year.</w:t>
      </w:r>
    </w:p>
    <w:p w14:paraId="4BCBBECB" w14:textId="77777777" w:rsidR="006A6D0C" w:rsidRDefault="006A6D0C">
      <w:pPr>
        <w:spacing w:after="0"/>
      </w:pPr>
    </w:p>
    <w:p w14:paraId="626356BF" w14:textId="77777777" w:rsidR="006A6D0C" w:rsidRDefault="00F35B66">
      <w:pPr>
        <w:spacing w:after="0"/>
      </w:pPr>
      <w:r>
        <w:t>Committee also agreed that the performance benchmarks remain the same as tha</w:t>
      </w:r>
      <w:r>
        <w:t>t agreed for the 2018/19 review. As such the benchmarks used in 2019/20 were as follows:</w:t>
      </w:r>
    </w:p>
    <w:p w14:paraId="1803D7E6" w14:textId="77777777" w:rsidR="006A6D0C" w:rsidRDefault="006A6D0C">
      <w:pPr>
        <w:spacing w:after="0"/>
      </w:pPr>
    </w:p>
    <w:p w14:paraId="667E455B" w14:textId="77777777" w:rsidR="006A6D0C" w:rsidRDefault="00F35B66">
      <w:pPr>
        <w:spacing w:after="0"/>
      </w:pPr>
      <w:r>
        <w:t>Cohort size &lt;10</w:t>
      </w:r>
    </w:p>
    <w:p w14:paraId="153793BF" w14:textId="77777777" w:rsidR="006A6D0C" w:rsidRDefault="006A6D0C">
      <w:pPr>
        <w:spacing w:after="0"/>
        <w:rPr>
          <w:u w:val="single"/>
        </w:rPr>
      </w:pPr>
    </w:p>
    <w:p w14:paraId="102BB824" w14:textId="77777777" w:rsidR="006A6D0C" w:rsidRDefault="00F35B66">
      <w:pPr>
        <w:spacing w:after="0"/>
      </w:pPr>
      <w:r>
        <w:t>Attrition:</w:t>
      </w:r>
      <w:r>
        <w:tab/>
        <w:t>Access Programmes 20%</w:t>
      </w:r>
    </w:p>
    <w:p w14:paraId="784407EE" w14:textId="77777777" w:rsidR="006A6D0C" w:rsidRDefault="00F35B66">
      <w:pPr>
        <w:spacing w:after="0"/>
      </w:pPr>
      <w:r>
        <w:tab/>
      </w:r>
      <w:r>
        <w:tab/>
        <w:t>Foundation degrees 10%</w:t>
      </w:r>
    </w:p>
    <w:p w14:paraId="64F120E8" w14:textId="77777777" w:rsidR="006A6D0C" w:rsidRDefault="00F35B66">
      <w:pPr>
        <w:spacing w:after="0"/>
      </w:pPr>
      <w:r>
        <w:t>Success 2:</w:t>
      </w:r>
      <w:r>
        <w:tab/>
        <w:t>Access Programmes 70% progression</w:t>
      </w:r>
    </w:p>
    <w:p w14:paraId="11885068" w14:textId="77777777" w:rsidR="006A6D0C" w:rsidRDefault="00F35B66">
      <w:pPr>
        <w:spacing w:after="0"/>
      </w:pPr>
      <w:r>
        <w:tab/>
      </w:r>
      <w:r>
        <w:tab/>
        <w:t xml:space="preserve">Foundation degrees (Year 1) 75% progression </w:t>
      </w:r>
    </w:p>
    <w:p w14:paraId="35815D61" w14:textId="77777777" w:rsidR="006A6D0C" w:rsidRDefault="00F35B66">
      <w:pPr>
        <w:spacing w:after="0"/>
      </w:pPr>
      <w:r>
        <w:tab/>
      </w:r>
      <w:r>
        <w:tab/>
        <w:t>Foundation degrees (Year 2) 80% progression</w:t>
      </w:r>
    </w:p>
    <w:p w14:paraId="3EE82389" w14:textId="77777777" w:rsidR="006A6D0C" w:rsidRDefault="006A6D0C">
      <w:pPr>
        <w:spacing w:after="0"/>
      </w:pPr>
    </w:p>
    <w:p w14:paraId="6AA81BAE" w14:textId="77777777" w:rsidR="006A6D0C" w:rsidRDefault="00F35B66">
      <w:pPr>
        <w:spacing w:after="0"/>
      </w:pPr>
      <w:r>
        <w:t>As well as looking at performance date Faculties also took into consideration the following quality assurance indicators:</w:t>
      </w:r>
    </w:p>
    <w:p w14:paraId="4E3AC50A" w14:textId="77777777" w:rsidR="006A6D0C" w:rsidRDefault="006A6D0C">
      <w:pPr>
        <w:spacing w:after="0"/>
      </w:pPr>
    </w:p>
    <w:p w14:paraId="3FA600E0" w14:textId="77777777" w:rsidR="006A6D0C" w:rsidRDefault="00F35B66">
      <w:pPr>
        <w:numPr>
          <w:ilvl w:val="0"/>
          <w:numId w:val="1"/>
        </w:numPr>
        <w:spacing w:after="0"/>
      </w:pPr>
      <w:r>
        <w:t>External Examiner reports</w:t>
      </w:r>
    </w:p>
    <w:p w14:paraId="5E7C6EF5" w14:textId="77777777" w:rsidR="006A6D0C" w:rsidRDefault="00F35B66">
      <w:pPr>
        <w:numPr>
          <w:ilvl w:val="0"/>
          <w:numId w:val="1"/>
        </w:numPr>
        <w:spacing w:after="0"/>
      </w:pPr>
      <w:r>
        <w:t>FPM reports</w:t>
      </w:r>
    </w:p>
    <w:p w14:paraId="66B9A82F" w14:textId="77777777" w:rsidR="006A6D0C" w:rsidRDefault="00F35B66">
      <w:pPr>
        <w:numPr>
          <w:ilvl w:val="0"/>
          <w:numId w:val="1"/>
        </w:numPr>
        <w:spacing w:after="0"/>
      </w:pPr>
      <w:r>
        <w:t>PSRB reports</w:t>
      </w:r>
    </w:p>
    <w:p w14:paraId="7B760496" w14:textId="77777777" w:rsidR="006A6D0C" w:rsidRDefault="00F35B66">
      <w:pPr>
        <w:numPr>
          <w:ilvl w:val="0"/>
          <w:numId w:val="1"/>
        </w:numPr>
        <w:spacing w:after="0"/>
      </w:pPr>
      <w:r>
        <w:t xml:space="preserve">Minutes of Staff Student </w:t>
      </w:r>
      <w:r>
        <w:t>Consultative Committee meetings</w:t>
      </w:r>
    </w:p>
    <w:p w14:paraId="799AF5CF" w14:textId="77777777" w:rsidR="006A6D0C" w:rsidRDefault="00F35B66">
      <w:pPr>
        <w:numPr>
          <w:ilvl w:val="0"/>
          <w:numId w:val="1"/>
        </w:numPr>
        <w:spacing w:after="0"/>
      </w:pPr>
      <w:r>
        <w:t>Minutes of Course Committee meetings</w:t>
      </w:r>
    </w:p>
    <w:p w14:paraId="48D50833" w14:textId="77777777" w:rsidR="006A6D0C" w:rsidRDefault="00F35B66">
      <w:pPr>
        <w:numPr>
          <w:ilvl w:val="0"/>
          <w:numId w:val="1"/>
        </w:numPr>
        <w:spacing w:after="0"/>
      </w:pPr>
      <w:r>
        <w:t>CA3s</w:t>
      </w:r>
    </w:p>
    <w:p w14:paraId="2FA86C10" w14:textId="77777777" w:rsidR="006A6D0C" w:rsidRDefault="00F35B66">
      <w:pPr>
        <w:numPr>
          <w:ilvl w:val="0"/>
          <w:numId w:val="1"/>
        </w:numPr>
        <w:spacing w:after="0"/>
      </w:pPr>
      <w:r>
        <w:t>Re-validation outcomes</w:t>
      </w:r>
    </w:p>
    <w:p w14:paraId="6B466BFD" w14:textId="77777777" w:rsidR="006A6D0C" w:rsidRDefault="00F35B66">
      <w:pPr>
        <w:pStyle w:val="ListParagraph"/>
        <w:numPr>
          <w:ilvl w:val="0"/>
          <w:numId w:val="1"/>
        </w:numPr>
        <w:spacing w:after="0"/>
      </w:pPr>
      <w:r>
        <w:t>NSS outcomes</w:t>
      </w:r>
    </w:p>
    <w:p w14:paraId="07A9C25F" w14:textId="77777777" w:rsidR="006A6D0C" w:rsidRDefault="006A6D0C">
      <w:pPr>
        <w:spacing w:after="0"/>
      </w:pPr>
    </w:p>
    <w:p w14:paraId="16927AED" w14:textId="77777777" w:rsidR="006A6D0C" w:rsidRDefault="00F35B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OUTCOMES FROM THE 2019/20 REVIEW</w:t>
      </w:r>
    </w:p>
    <w:p w14:paraId="0C82835C" w14:textId="77777777" w:rsidR="006A6D0C" w:rsidRDefault="006A6D0C">
      <w:pPr>
        <w:spacing w:after="0"/>
        <w:rPr>
          <w:sz w:val="24"/>
          <w:szCs w:val="24"/>
        </w:rPr>
      </w:pPr>
    </w:p>
    <w:p w14:paraId="05F608D0" w14:textId="77777777" w:rsidR="006A6D0C" w:rsidRDefault="00F35B66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Quality Enhancement (QE) provided Faculties with performance data for all approved validated programmes of s</w:t>
      </w:r>
      <w:r>
        <w:rPr>
          <w:sz w:val="24"/>
          <w:szCs w:val="24"/>
        </w:rPr>
        <w:t xml:space="preserve">tudy offered in partner institutions. This included </w:t>
      </w:r>
      <w:proofErr w:type="gramStart"/>
      <w:r>
        <w:rPr>
          <w:sz w:val="24"/>
          <w:szCs w:val="24"/>
        </w:rPr>
        <w:t>programmes  withdrawn</w:t>
      </w:r>
      <w:proofErr w:type="gramEnd"/>
      <w:r>
        <w:rPr>
          <w:sz w:val="24"/>
          <w:szCs w:val="24"/>
        </w:rPr>
        <w:t xml:space="preserve"> but with students still registered on them. </w:t>
      </w:r>
      <w:proofErr w:type="spellStart"/>
      <w:r>
        <w:rPr>
          <w:sz w:val="24"/>
          <w:szCs w:val="24"/>
        </w:rPr>
        <w:t>Outcentre</w:t>
      </w:r>
      <w:proofErr w:type="spellEnd"/>
      <w:r>
        <w:rPr>
          <w:sz w:val="24"/>
          <w:szCs w:val="24"/>
        </w:rPr>
        <w:t xml:space="preserve"> programmes are not included within CAQE (Coll. Provision) as they are considered as part of the University’s internal CAQE revie</w:t>
      </w:r>
      <w:r>
        <w:rPr>
          <w:sz w:val="24"/>
          <w:szCs w:val="24"/>
        </w:rPr>
        <w:t>w.</w:t>
      </w:r>
    </w:p>
    <w:p w14:paraId="4ABCC35E" w14:textId="77777777" w:rsidR="006A6D0C" w:rsidRDefault="006A6D0C">
      <w:pPr>
        <w:spacing w:after="0"/>
        <w:rPr>
          <w:sz w:val="24"/>
          <w:szCs w:val="24"/>
        </w:rPr>
      </w:pPr>
    </w:p>
    <w:p w14:paraId="469FC2A4" w14:textId="77777777" w:rsidR="006A6D0C" w:rsidRDefault="00F35B66">
      <w:pPr>
        <w:pStyle w:val="NormalWeb"/>
      </w:pPr>
      <w:r>
        <w:t xml:space="preserve">Faculties reviewed the quantitative and qualitative data available and requested that Course Teams provide Action Plans for 37 programmes. </w:t>
      </w:r>
      <w:r>
        <w:rPr>
          <w:color w:val="000000"/>
        </w:rPr>
        <w:t>When analysing the data Faculties took cognisance of the unprecedent arrangements for the delivery and assessment</w:t>
      </w:r>
      <w:r>
        <w:rPr>
          <w:color w:val="000000"/>
        </w:rPr>
        <w:t xml:space="preserve"> of semester 2 modules. </w:t>
      </w:r>
    </w:p>
    <w:p w14:paraId="79FAF114" w14:textId="77777777" w:rsidR="006A6D0C" w:rsidRDefault="00F35B66">
      <w:pPr>
        <w:pStyle w:val="NormalWeb"/>
        <w:rPr>
          <w:color w:val="000000"/>
        </w:rPr>
      </w:pPr>
      <w:r>
        <w:rPr>
          <w:color w:val="000000"/>
        </w:rPr>
        <w:t>Colleges were asked to reflect upon the following:</w:t>
      </w:r>
    </w:p>
    <w:p w14:paraId="2AFF94DD" w14:textId="77777777" w:rsidR="006A6D0C" w:rsidRDefault="006A6D0C">
      <w:pPr>
        <w:spacing w:after="0"/>
      </w:pPr>
    </w:p>
    <w:p w14:paraId="29FE9ADC" w14:textId="77777777" w:rsidR="006A6D0C" w:rsidRDefault="00F35B66">
      <w:pPr>
        <w:pStyle w:val="ListParagraph"/>
        <w:numPr>
          <w:ilvl w:val="0"/>
          <w:numId w:val="2"/>
        </w:numPr>
        <w:spacing w:after="0"/>
      </w:pPr>
      <w:r>
        <w:t>High levels of attrition in Years 1 and 2</w:t>
      </w:r>
    </w:p>
    <w:p w14:paraId="2787A2B8" w14:textId="77777777" w:rsidR="006A6D0C" w:rsidRDefault="00F35B66">
      <w:pPr>
        <w:pStyle w:val="ListParagraph"/>
        <w:numPr>
          <w:ilvl w:val="0"/>
          <w:numId w:val="2"/>
        </w:numPr>
        <w:spacing w:after="0"/>
      </w:pPr>
      <w:r>
        <w:t>High level of non-returners</w:t>
      </w:r>
    </w:p>
    <w:p w14:paraId="197A3A8C" w14:textId="77777777" w:rsidR="006A6D0C" w:rsidRDefault="00F35B66">
      <w:pPr>
        <w:pStyle w:val="ListParagraph"/>
        <w:numPr>
          <w:ilvl w:val="0"/>
          <w:numId w:val="2"/>
        </w:numPr>
        <w:spacing w:after="0"/>
      </w:pPr>
      <w:r>
        <w:t>Poor first-sit outcomes</w:t>
      </w:r>
    </w:p>
    <w:p w14:paraId="0124CE33" w14:textId="77777777" w:rsidR="006A6D0C" w:rsidRDefault="00F35B66">
      <w:pPr>
        <w:pStyle w:val="ListParagraph"/>
        <w:numPr>
          <w:ilvl w:val="0"/>
          <w:numId w:val="2"/>
        </w:numPr>
        <w:spacing w:after="0"/>
      </w:pPr>
      <w:r>
        <w:t>Poor Success 2 outcomes</w:t>
      </w:r>
    </w:p>
    <w:p w14:paraId="7C073CFC" w14:textId="77777777" w:rsidR="006A6D0C" w:rsidRDefault="006A6D0C">
      <w:pPr>
        <w:spacing w:after="0"/>
      </w:pPr>
    </w:p>
    <w:p w14:paraId="3CBB942C" w14:textId="77777777" w:rsidR="006A6D0C" w:rsidRDefault="00F35B66">
      <w:pPr>
        <w:spacing w:after="0"/>
      </w:pPr>
      <w:r>
        <w:t xml:space="preserve">Completed Action Plans were received for all 37 programmes. </w:t>
      </w:r>
      <w:r>
        <w:t>Faculties reviewed the Action Plans and no further action being required at this stage. Faculty Partnership Managers (FPMS) will continue to monitor these programmes.</w:t>
      </w:r>
    </w:p>
    <w:p w14:paraId="03302E56" w14:textId="77777777" w:rsidR="006A6D0C" w:rsidRDefault="006A6D0C">
      <w:pPr>
        <w:spacing w:after="0"/>
      </w:pPr>
    </w:p>
    <w:p w14:paraId="6A6E3E41" w14:textId="77777777" w:rsidR="006A6D0C" w:rsidRDefault="00F35B66">
      <w:pPr>
        <w:spacing w:after="0"/>
      </w:pPr>
      <w:r>
        <w:t>Members are reminded of the need for Course Teams to respond to the External Examiner</w:t>
      </w:r>
    </w:p>
    <w:p w14:paraId="2257397B" w14:textId="77777777" w:rsidR="006A6D0C" w:rsidRDefault="00F35B66">
      <w:pPr>
        <w:spacing w:after="0"/>
      </w:pPr>
      <w:r>
        <w:t>Report and share the report and response with students. Evidence of this must be provided in the minutes of Staff/Student Consultative Committee meetings. The HE Co-ordinator is responsible for ensuring that minutes of Course Committee and Staff/Student Co</w:t>
      </w:r>
      <w:r>
        <w:t>nsultative Committee meetings are routinely forwarded to the FPM.</w:t>
      </w:r>
    </w:p>
    <w:p w14:paraId="0744E374" w14:textId="77777777" w:rsidR="006A6D0C" w:rsidRDefault="006A6D0C">
      <w:pPr>
        <w:spacing w:after="0"/>
      </w:pPr>
    </w:p>
    <w:p w14:paraId="78D67C5B" w14:textId="77777777" w:rsidR="006A6D0C" w:rsidRDefault="00F35B66">
      <w:pPr>
        <w:spacing w:after="0"/>
      </w:pPr>
      <w:r>
        <w:t xml:space="preserve">A report on the outcomes from the 2019/20 </w:t>
      </w:r>
      <w:r>
        <w:rPr>
          <w:sz w:val="24"/>
          <w:szCs w:val="24"/>
        </w:rPr>
        <w:t>CAQE (Coll. Provision) review will be consider at the March meeting of the Academic Standards and Quality Enhancement Committee.</w:t>
      </w:r>
    </w:p>
    <w:p w14:paraId="576D9722" w14:textId="77777777" w:rsidR="006A6D0C" w:rsidRDefault="006A6D0C">
      <w:pPr>
        <w:spacing w:after="0"/>
        <w:rPr>
          <w:sz w:val="24"/>
          <w:szCs w:val="24"/>
        </w:rPr>
      </w:pPr>
    </w:p>
    <w:p w14:paraId="224BD8BB" w14:textId="77777777" w:rsidR="006A6D0C" w:rsidRDefault="00F35B66">
      <w:pPr>
        <w:spacing w:after="0"/>
      </w:pPr>
      <w:r>
        <w:rPr>
          <w:sz w:val="24"/>
          <w:szCs w:val="24"/>
        </w:rPr>
        <w:t xml:space="preserve">Hugh </w:t>
      </w:r>
      <w:proofErr w:type="spellStart"/>
      <w:r>
        <w:rPr>
          <w:sz w:val="24"/>
          <w:szCs w:val="24"/>
        </w:rPr>
        <w:t>Deighan</w:t>
      </w:r>
      <w:proofErr w:type="spellEnd"/>
    </w:p>
    <w:p w14:paraId="52C64E8E" w14:textId="77777777" w:rsidR="006A6D0C" w:rsidRDefault="006A6D0C">
      <w:pPr>
        <w:pStyle w:val="ListParagraph"/>
        <w:rPr>
          <w:rFonts w:cs="Calibri"/>
          <w:sz w:val="24"/>
          <w:szCs w:val="24"/>
        </w:rPr>
      </w:pPr>
    </w:p>
    <w:p w14:paraId="1CC08883" w14:textId="77777777" w:rsidR="006A6D0C" w:rsidRDefault="006A6D0C"/>
    <w:sectPr w:rsidR="006A6D0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D9A6" w14:textId="77777777" w:rsidR="00F35B66" w:rsidRDefault="00F35B66">
      <w:pPr>
        <w:spacing w:after="0"/>
      </w:pPr>
      <w:r>
        <w:separator/>
      </w:r>
    </w:p>
  </w:endnote>
  <w:endnote w:type="continuationSeparator" w:id="0">
    <w:p w14:paraId="0009C956" w14:textId="77777777" w:rsidR="00F35B66" w:rsidRDefault="00F35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6AED" w14:textId="77777777" w:rsidR="00F35B66" w:rsidRDefault="00F35B6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BCB71C" w14:textId="77777777" w:rsidR="00F35B66" w:rsidRDefault="00F35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718B8"/>
    <w:multiLevelType w:val="multilevel"/>
    <w:tmpl w:val="F7901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243ABC"/>
    <w:multiLevelType w:val="multilevel"/>
    <w:tmpl w:val="D80831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6D0C"/>
    <w:rsid w:val="006A6D0C"/>
    <w:rsid w:val="009046B8"/>
    <w:rsid w:val="00F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1C972"/>
  <w15:docId w15:val="{43B5E3C4-C6BC-8145-8469-9B9CB79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Deighan, Hugh</dc:creator>
  <dc:description/>
  <cp:lastModifiedBy>Clements, Jennifer</cp:lastModifiedBy>
  <cp:revision>2</cp:revision>
  <dcterms:created xsi:type="dcterms:W3CDTF">2021-04-13T14:16:00Z</dcterms:created>
  <dcterms:modified xsi:type="dcterms:W3CDTF">2021-04-13T14:16:00Z</dcterms:modified>
</cp:coreProperties>
</file>