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E43D4" w14:textId="77777777" w:rsidR="003D7B4C" w:rsidRPr="003D7B4C" w:rsidRDefault="003D7B4C" w:rsidP="003D7B4C">
      <w:pPr>
        <w:rPr>
          <w:rFonts w:cs="Times New Roman (Body CS)"/>
          <w:caps/>
        </w:rPr>
      </w:pPr>
      <w:r w:rsidRPr="003D7B4C">
        <w:rPr>
          <w:rFonts w:cs="Times New Roman (Body CS)"/>
          <w:caps/>
        </w:rPr>
        <w:t>ULSTER UNIVERSITY</w:t>
      </w:r>
    </w:p>
    <w:p w14:paraId="0C3CE393" w14:textId="77777777" w:rsidR="003D7B4C" w:rsidRPr="003D7B4C" w:rsidRDefault="003D7B4C" w:rsidP="003D7B4C">
      <w:pPr>
        <w:rPr>
          <w:rFonts w:cs="Times New Roman (Body CS)"/>
          <w:caps/>
        </w:rPr>
      </w:pPr>
    </w:p>
    <w:p w14:paraId="16F343CA" w14:textId="77777777" w:rsidR="003D7B4C" w:rsidRPr="003D7B4C" w:rsidRDefault="003D7B4C" w:rsidP="003D7B4C">
      <w:pPr>
        <w:rPr>
          <w:rFonts w:cs="Times New Roman (Body CS)"/>
          <w:caps/>
        </w:rPr>
      </w:pPr>
      <w:r w:rsidRPr="003D7B4C">
        <w:rPr>
          <w:rFonts w:cs="Times New Roman (Body CS)"/>
          <w:caps/>
        </w:rPr>
        <w:t>COLLABORATIVE PARTNERSHIPS FORUM</w:t>
      </w:r>
    </w:p>
    <w:p w14:paraId="0D7C5781" w14:textId="77777777" w:rsidR="003D7B4C" w:rsidRPr="003D7B4C" w:rsidRDefault="003D7B4C" w:rsidP="000A7BD7">
      <w:r w:rsidRPr="003D7B4C">
        <w:t>23 J</w:t>
      </w:r>
      <w:bookmarkStart w:id="0" w:name="_GoBack"/>
      <w:bookmarkEnd w:id="0"/>
      <w:r w:rsidRPr="003D7B4C">
        <w:t>anuary 2019</w:t>
      </w:r>
    </w:p>
    <w:p w14:paraId="7635AF66" w14:textId="77777777" w:rsidR="003D7B4C" w:rsidRPr="003D7B4C" w:rsidRDefault="003D7B4C" w:rsidP="003D7B4C">
      <w:pPr>
        <w:rPr>
          <w:rFonts w:cs="Times New Roman (Body CS)"/>
          <w:caps/>
        </w:rPr>
      </w:pPr>
    </w:p>
    <w:p w14:paraId="0496DD76" w14:textId="77777777" w:rsidR="003D7B4C" w:rsidRPr="003D7B4C" w:rsidRDefault="003D7B4C" w:rsidP="003D7B4C">
      <w:pPr>
        <w:rPr>
          <w:rFonts w:cs="Times New Roman (Body CS)"/>
          <w:caps/>
        </w:rPr>
      </w:pPr>
    </w:p>
    <w:p w14:paraId="2ABA9FA8" w14:textId="72B6DFCC" w:rsidR="003D7B4C" w:rsidRPr="003D7B4C" w:rsidRDefault="003D7B4C" w:rsidP="00AF5E26">
      <w:r w:rsidRPr="003D7B4C">
        <w:t xml:space="preserve">Paper No: CPF/19/04    </w:t>
      </w:r>
      <w:r w:rsidRPr="003D7B4C">
        <w:tab/>
      </w:r>
      <w:r w:rsidRPr="003D7B4C">
        <w:tab/>
      </w:r>
      <w:r w:rsidRPr="003D7B4C">
        <w:tab/>
      </w:r>
      <w:r w:rsidRPr="003D7B4C">
        <w:tab/>
      </w:r>
      <w:r w:rsidRPr="003D7B4C">
        <w:tab/>
      </w:r>
      <w:r w:rsidRPr="003D7B4C">
        <w:tab/>
      </w:r>
      <w:r w:rsidRPr="003D7B4C">
        <w:tab/>
      </w:r>
      <w:r w:rsidR="00AF5E26">
        <w:t>Agenda</w:t>
      </w:r>
      <w:r w:rsidRPr="003D7B4C">
        <w:t xml:space="preserve"> Item:  </w:t>
      </w:r>
      <w:proofErr w:type="gramStart"/>
      <w:r w:rsidRPr="003D7B4C">
        <w:t>7</w:t>
      </w:r>
      <w:proofErr w:type="gramEnd"/>
    </w:p>
    <w:p w14:paraId="548BB4D1" w14:textId="77777777" w:rsidR="003D7B4C" w:rsidRPr="003D7B4C" w:rsidRDefault="003D7B4C" w:rsidP="003D7B4C">
      <w:pPr>
        <w:rPr>
          <w:rFonts w:cs="Times New Roman (Body CS)"/>
          <w:caps/>
        </w:rPr>
      </w:pPr>
    </w:p>
    <w:p w14:paraId="0EA48607" w14:textId="77777777" w:rsidR="003D7B4C" w:rsidRPr="003D7B4C" w:rsidRDefault="003D7B4C" w:rsidP="003D7B4C">
      <w:pPr>
        <w:rPr>
          <w:rFonts w:cs="Times New Roman (Body CS)"/>
          <w:caps/>
        </w:rPr>
      </w:pPr>
    </w:p>
    <w:p w14:paraId="58B674B0" w14:textId="2340E76E" w:rsidR="003D7B4C" w:rsidRPr="003D7B4C" w:rsidRDefault="003D7B4C" w:rsidP="003D7B4C">
      <w:pPr>
        <w:rPr>
          <w:rFonts w:cs="Times New Roman (Body CS)"/>
          <w:caps/>
        </w:rPr>
      </w:pPr>
      <w:r w:rsidRPr="003D7B4C">
        <w:rPr>
          <w:rFonts w:cs="Times New Roman (Body CS)"/>
          <w:caps/>
        </w:rPr>
        <w:t>TITLE:</w:t>
      </w:r>
      <w:r w:rsidRPr="003D7B4C">
        <w:rPr>
          <w:rFonts w:cs="Times New Roman (Body CS)"/>
          <w:caps/>
        </w:rPr>
        <w:tab/>
        <w:t xml:space="preserve"> APPLICATION OF THE NEW DEGREE ALGORITHM TO FOUNDATION DEGREES</w:t>
      </w:r>
    </w:p>
    <w:p w14:paraId="6AA75BFA" w14:textId="77777777" w:rsidR="003D7B4C" w:rsidRPr="003D7B4C" w:rsidRDefault="003D7B4C" w:rsidP="003D7B4C">
      <w:pPr>
        <w:rPr>
          <w:rFonts w:cs="Times New Roman (Body CS)"/>
          <w:caps/>
        </w:rPr>
      </w:pPr>
    </w:p>
    <w:p w14:paraId="31807012" w14:textId="77777777" w:rsidR="003D7B4C" w:rsidRPr="003D7B4C" w:rsidRDefault="003D7B4C" w:rsidP="003D7B4C">
      <w:pPr>
        <w:rPr>
          <w:rFonts w:cs="Times New Roman (Body CS)"/>
          <w:caps/>
        </w:rPr>
      </w:pPr>
    </w:p>
    <w:p w14:paraId="27582BBF" w14:textId="77777777" w:rsidR="003D7B4C" w:rsidRPr="003D7B4C" w:rsidRDefault="003D7B4C" w:rsidP="003D7B4C">
      <w:pPr>
        <w:rPr>
          <w:rFonts w:cs="Times New Roman (Body CS)"/>
          <w:caps/>
        </w:rPr>
      </w:pPr>
      <w:r w:rsidRPr="003D7B4C">
        <w:rPr>
          <w:rFonts w:cs="Times New Roman (Body CS)"/>
          <w:caps/>
        </w:rPr>
        <w:t>SUMMARY:</w:t>
      </w:r>
    </w:p>
    <w:p w14:paraId="7C93039E" w14:textId="77777777" w:rsidR="003D7B4C" w:rsidRPr="003D7B4C" w:rsidRDefault="003D7B4C" w:rsidP="003D7B4C">
      <w:pPr>
        <w:rPr>
          <w:rFonts w:cs="Times New Roman (Body CS)"/>
          <w:caps/>
        </w:rPr>
      </w:pPr>
    </w:p>
    <w:p w14:paraId="2EFEBE4F" w14:textId="332424D2" w:rsidR="003D7B4C" w:rsidRPr="003D7B4C" w:rsidRDefault="003D7B4C" w:rsidP="003D7B4C">
      <w:r w:rsidRPr="003D7B4C">
        <w:t>To</w:t>
      </w:r>
      <w:r>
        <w:t xml:space="preserve"> consider a paper investigating the potential to apply the new degree algorithm to Foundation degrees.</w:t>
      </w:r>
    </w:p>
    <w:p w14:paraId="7DD7A48D" w14:textId="77777777" w:rsidR="003D7B4C" w:rsidRPr="003D7B4C" w:rsidRDefault="003D7B4C" w:rsidP="003D7B4C">
      <w:pPr>
        <w:rPr>
          <w:rFonts w:cs="Times New Roman (Body CS)"/>
          <w:caps/>
        </w:rPr>
      </w:pPr>
    </w:p>
    <w:p w14:paraId="54D0BCD8" w14:textId="77777777" w:rsidR="003D7B4C" w:rsidRPr="003D7B4C" w:rsidRDefault="003D7B4C" w:rsidP="003D7B4C">
      <w:pPr>
        <w:rPr>
          <w:rFonts w:cs="Times New Roman (Body CS)"/>
          <w:caps/>
        </w:rPr>
      </w:pPr>
    </w:p>
    <w:p w14:paraId="66E97B9D" w14:textId="77777777" w:rsidR="003D7B4C" w:rsidRPr="003D7B4C" w:rsidRDefault="003D7B4C" w:rsidP="003D7B4C">
      <w:pPr>
        <w:rPr>
          <w:rFonts w:cs="Times New Roman (Body CS)"/>
          <w:caps/>
        </w:rPr>
      </w:pPr>
      <w:r w:rsidRPr="003D7B4C">
        <w:rPr>
          <w:rFonts w:cs="Times New Roman (Body CS)"/>
          <w:caps/>
        </w:rPr>
        <w:t>ACTION REQUIRED:</w:t>
      </w:r>
    </w:p>
    <w:p w14:paraId="26382B60" w14:textId="77777777" w:rsidR="003D7B4C" w:rsidRPr="003D7B4C" w:rsidRDefault="003D7B4C" w:rsidP="003D7B4C">
      <w:pPr>
        <w:rPr>
          <w:rFonts w:cs="Times New Roman (Body CS)"/>
          <w:caps/>
        </w:rPr>
      </w:pPr>
    </w:p>
    <w:p w14:paraId="53E4C695" w14:textId="490FD0E3" w:rsidR="003D7B4C" w:rsidRPr="003D7B4C" w:rsidRDefault="003D7B4C" w:rsidP="003D7B4C">
      <w:r>
        <w:t>For Consideration</w:t>
      </w:r>
      <w:r w:rsidRPr="003D7B4C">
        <w:t>.</w:t>
      </w:r>
    </w:p>
    <w:p w14:paraId="05C0DD41" w14:textId="77777777" w:rsidR="003D7B4C" w:rsidRDefault="003D7B4C">
      <w:pPr>
        <w:rPr>
          <w:rFonts w:cs="Times New Roman (Body CS)"/>
          <w:b/>
          <w:caps/>
        </w:rPr>
      </w:pPr>
      <w:r>
        <w:rPr>
          <w:rFonts w:cs="Times New Roman (Body CS)"/>
          <w:b/>
          <w:caps/>
        </w:rPr>
        <w:br w:type="page"/>
      </w:r>
    </w:p>
    <w:p w14:paraId="0582F3C0" w14:textId="58746E86" w:rsidR="00D851C0" w:rsidRPr="00D851C0" w:rsidRDefault="00D851C0" w:rsidP="00D851C0">
      <w:pPr>
        <w:jc w:val="center"/>
        <w:rPr>
          <w:rFonts w:cs="Times New Roman (Body CS)"/>
          <w:b/>
          <w:caps/>
        </w:rPr>
      </w:pPr>
      <w:r w:rsidRPr="00D851C0">
        <w:rPr>
          <w:rFonts w:cs="Times New Roman (Body CS)"/>
          <w:b/>
          <w:caps/>
        </w:rPr>
        <w:lastRenderedPageBreak/>
        <w:t>Variations to the method for calculating the final mark in Foundation degrees</w:t>
      </w:r>
    </w:p>
    <w:p w14:paraId="6E9F2AE3" w14:textId="77777777" w:rsidR="00D851C0" w:rsidRDefault="00D851C0" w:rsidP="00D851C0">
      <w:pPr>
        <w:jc w:val="both"/>
      </w:pPr>
    </w:p>
    <w:p w14:paraId="7D14A187" w14:textId="0BCDBB82" w:rsidR="0036517E" w:rsidRDefault="001C3FB7" w:rsidP="00D851C0">
      <w:pPr>
        <w:jc w:val="both"/>
      </w:pPr>
      <w:r>
        <w:t xml:space="preserve">The recent focus on benchmarks for attrition and progression has served to highlight the very large numbers of students on validated courses who are not successful at the first attempt in May. </w:t>
      </w:r>
      <w:r w:rsidR="00566199">
        <w:t>O</w:t>
      </w:r>
      <w:r>
        <w:t xml:space="preserve">n </w:t>
      </w:r>
      <w:r w:rsidR="00566199">
        <w:t>many</w:t>
      </w:r>
      <w:r>
        <w:t xml:space="preserve"> </w:t>
      </w:r>
      <w:r w:rsidR="00566199">
        <w:t xml:space="preserve">Foundation degree </w:t>
      </w:r>
      <w:r>
        <w:t>courses</w:t>
      </w:r>
      <w:r w:rsidR="00566199">
        <w:t xml:space="preserve"> in 17/18</w:t>
      </w:r>
      <w:r>
        <w:t>, over half of the students ha</w:t>
      </w:r>
      <w:r w:rsidR="00566199">
        <w:t>d</w:t>
      </w:r>
      <w:r>
        <w:t xml:space="preserve"> resits in August. No institution met the benchmarks following the June Boards of Examiners</w:t>
      </w:r>
      <w:r w:rsidR="00D851C0">
        <w:t xml:space="preserve"> (see Annex)</w:t>
      </w:r>
      <w:r>
        <w:t xml:space="preserve">. </w:t>
      </w:r>
    </w:p>
    <w:p w14:paraId="29264E58" w14:textId="3D984522" w:rsidR="00566199" w:rsidRDefault="00566199"/>
    <w:p w14:paraId="22FD1230" w14:textId="38DEBDF8" w:rsidR="00566199" w:rsidRDefault="00566199" w:rsidP="00D851C0">
      <w:pPr>
        <w:jc w:val="both"/>
      </w:pPr>
      <w:r>
        <w:t xml:space="preserve">The Self Evaluation Report asked course teams to reflect on first sit success for the first time this year, with a view to improving student outcomes, and reducing the administrative overhead of very substantial and lengthy supplementary Boards of Examiners.  It is hoped that the curriculum design reforms coupled with the workload equivalence guidelines may lead to better student outcomes, but another area under consideration was the potential for level 4 modules to contribute to the final Foundation degree classification, in the same way as level 5 modules contribute to the Honours degree classification under the new degree algorithm. </w:t>
      </w:r>
    </w:p>
    <w:p w14:paraId="542A987A" w14:textId="012861CE" w:rsidR="00566199" w:rsidRDefault="00566199"/>
    <w:p w14:paraId="089BF1C1" w14:textId="5FB109E4" w:rsidR="00EC508F" w:rsidRDefault="00566199" w:rsidP="00D851C0">
      <w:pPr>
        <w:jc w:val="both"/>
      </w:pPr>
      <w:r>
        <w:t>If students kn</w:t>
      </w:r>
      <w:r w:rsidR="00EC508F">
        <w:t>e</w:t>
      </w:r>
      <w:r>
        <w:t xml:space="preserve">w that </w:t>
      </w:r>
      <w:r w:rsidR="00EC508F">
        <w:t>level 4</w:t>
      </w:r>
      <w:r>
        <w:t xml:space="preserve"> modules contribute</w:t>
      </w:r>
      <w:r w:rsidR="00EC508F">
        <w:t>d</w:t>
      </w:r>
      <w:r>
        <w:t xml:space="preserve"> to their final award, </w:t>
      </w:r>
      <w:r w:rsidR="00EC508F">
        <w:t xml:space="preserve">they might be less content to accept a capped mark in the August resits, and might strive to succeed at the first attempt, thereby reducing the volume of resits. The Forum identified </w:t>
      </w:r>
      <w:r w:rsidR="00D851C0">
        <w:t xml:space="preserve">final year students on </w:t>
      </w:r>
      <w:r w:rsidR="00EC508F">
        <w:t xml:space="preserve">courses in partner colleges for investigation, covering different subject areas and modes of delivery. </w:t>
      </w:r>
    </w:p>
    <w:p w14:paraId="7D70D4C4" w14:textId="6C9F4BBA" w:rsidR="00EC508F" w:rsidRDefault="00EC508F"/>
    <w:p w14:paraId="36290765" w14:textId="110049E6" w:rsidR="00EC508F" w:rsidRDefault="00EC508F">
      <w:proofErr w:type="gramStart"/>
      <w:r>
        <w:t>A total of 193</w:t>
      </w:r>
      <w:proofErr w:type="gramEnd"/>
      <w:r>
        <w:t xml:space="preserve"> sets of student marks were modelled using the degree algorithm of 30% level 4 modules, 70% level 5 modules, to assess the impact of any change to current arrangements.</w:t>
      </w:r>
    </w:p>
    <w:p w14:paraId="531FBF04" w14:textId="03EFE638" w:rsidR="00EC508F" w:rsidRDefault="00EC508F"/>
    <w:p w14:paraId="255FA167" w14:textId="2FDF7463" w:rsidR="00EC508F" w:rsidRDefault="00EC508F">
      <w:r>
        <w:t>82 students, or 42%, saw their mark go down, while 11</w:t>
      </w:r>
      <w:r w:rsidR="00D851C0">
        <w:t>1</w:t>
      </w:r>
      <w:r>
        <w:t xml:space="preserve"> students, or 58%, saw their marks stay the same or go up.</w:t>
      </w:r>
    </w:p>
    <w:p w14:paraId="0AEFB512" w14:textId="2902381A" w:rsidR="00EC508F" w:rsidRDefault="00EC508F"/>
    <w:p w14:paraId="552EF8A3" w14:textId="4DE23C0F" w:rsidR="00EC508F" w:rsidRDefault="00EC508F">
      <w:r>
        <w:t xml:space="preserve">In terms of moving across bands for classification, 27 students (14%) dropped one classification while 12 students (6%) rose by one classification. </w:t>
      </w:r>
    </w:p>
    <w:p w14:paraId="7B26DF84" w14:textId="1D59C384" w:rsidR="00EC508F" w:rsidRDefault="00EC508F"/>
    <w:p w14:paraId="17AE5C79" w14:textId="005ADA34" w:rsidR="00EC508F" w:rsidRDefault="00EC508F" w:rsidP="00D851C0">
      <w:pPr>
        <w:jc w:val="both"/>
      </w:pPr>
      <w:r>
        <w:t xml:space="preserve">In conclusion, the adjustment to the current method for calculating final marks for Foundation degrees </w:t>
      </w:r>
      <w:r w:rsidR="00D851C0">
        <w:t xml:space="preserve">would certainly have had an impact of students, which would be mainly positive for consistently performing students. The Forum </w:t>
      </w:r>
      <w:proofErr w:type="gramStart"/>
      <w:r w:rsidR="00D851C0">
        <w:t>is asked</w:t>
      </w:r>
      <w:proofErr w:type="gramEnd"/>
      <w:r w:rsidR="00D851C0">
        <w:t xml:space="preserve"> to consider whether the potentially negative impact it would have on 42% of students would be one factor in motivating students to attempt to succeed first time round. </w:t>
      </w:r>
    </w:p>
    <w:p w14:paraId="7B8C2081" w14:textId="49C7F045" w:rsidR="00D851C0" w:rsidRDefault="00D851C0"/>
    <w:p w14:paraId="07F24D5A" w14:textId="77777777" w:rsidR="00D851C0" w:rsidRDefault="00D851C0">
      <w:r>
        <w:br w:type="page"/>
      </w:r>
    </w:p>
    <w:p w14:paraId="16596734" w14:textId="17ED5C15" w:rsidR="00D851C0" w:rsidRDefault="00D851C0">
      <w:r>
        <w:lastRenderedPageBreak/>
        <w:t>ANNEX</w:t>
      </w:r>
    </w:p>
    <w:p w14:paraId="29823633" w14:textId="0366151A" w:rsidR="001C3FB7" w:rsidRDefault="001C3FB7"/>
    <w:p w14:paraId="3C7FA3E9" w14:textId="4633FA03" w:rsidR="001C3FB7" w:rsidRPr="00D02D38" w:rsidRDefault="001C3FB7" w:rsidP="001C3FB7">
      <w:pPr>
        <w:contextualSpacing/>
        <w:rPr>
          <w:rFonts w:cstheme="minorHAnsi"/>
          <w:b/>
        </w:rPr>
      </w:pPr>
      <w:r w:rsidRPr="00D02D38">
        <w:rPr>
          <w:rFonts w:cstheme="minorHAnsi"/>
          <w:b/>
        </w:rPr>
        <w:t xml:space="preserve">HE Provision Success </w:t>
      </w:r>
      <w:r>
        <w:rPr>
          <w:rFonts w:cstheme="minorHAnsi"/>
          <w:b/>
        </w:rPr>
        <w:t xml:space="preserve">2 </w:t>
      </w:r>
      <w:r w:rsidRPr="00D02D38">
        <w:rPr>
          <w:rFonts w:cstheme="minorHAnsi"/>
          <w:b/>
        </w:rPr>
        <w:t xml:space="preserve">Rates 2017/18: Full-Time </w:t>
      </w:r>
      <w:r>
        <w:rPr>
          <w:rFonts w:cstheme="minorHAnsi"/>
          <w:b/>
        </w:rPr>
        <w:t>(benchmark)</w:t>
      </w:r>
    </w:p>
    <w:p w14:paraId="07BFF39F" w14:textId="77777777" w:rsidR="001C3FB7" w:rsidRPr="00D02D38" w:rsidRDefault="001C3FB7" w:rsidP="001C3FB7">
      <w:pPr>
        <w:ind w:left="360"/>
        <w:contextualSpacing/>
        <w:rPr>
          <w:rFonts w:cstheme="minorHAnsi"/>
          <w:b/>
        </w:rPr>
      </w:pPr>
    </w:p>
    <w:tbl>
      <w:tblPr>
        <w:tblStyle w:val="TableGrid"/>
        <w:tblW w:w="6663" w:type="dxa"/>
        <w:tblInd w:w="-3" w:type="dxa"/>
        <w:tblBorders>
          <w:left w:val="single" w:sz="2" w:space="0" w:color="auto"/>
        </w:tblBorders>
        <w:tblLook w:val="04A0" w:firstRow="1" w:lastRow="0" w:firstColumn="1" w:lastColumn="0" w:noHBand="0" w:noVBand="1"/>
      </w:tblPr>
      <w:tblGrid>
        <w:gridCol w:w="2971"/>
        <w:gridCol w:w="1849"/>
        <w:gridCol w:w="1843"/>
      </w:tblGrid>
      <w:tr w:rsidR="001C3FB7" w:rsidRPr="00D02D38" w14:paraId="47C72D43" w14:textId="77777777" w:rsidTr="006536E4">
        <w:tc>
          <w:tcPr>
            <w:tcW w:w="2971" w:type="dxa"/>
          </w:tcPr>
          <w:p w14:paraId="69F1C34C" w14:textId="77777777" w:rsidR="001C3FB7" w:rsidRPr="00D02D38" w:rsidRDefault="001C3FB7" w:rsidP="006536E4">
            <w:pPr>
              <w:contextualSpacing/>
              <w:rPr>
                <w:rFonts w:cstheme="minorHAnsi"/>
                <w:b/>
                <w:sz w:val="24"/>
                <w:szCs w:val="24"/>
              </w:rPr>
            </w:pPr>
            <w:r w:rsidRPr="00D02D38">
              <w:rPr>
                <w:rFonts w:cstheme="minorHAnsi"/>
                <w:b/>
                <w:sz w:val="24"/>
                <w:szCs w:val="24"/>
              </w:rPr>
              <w:t xml:space="preserve">Institution </w:t>
            </w:r>
          </w:p>
        </w:tc>
        <w:tc>
          <w:tcPr>
            <w:tcW w:w="1849" w:type="dxa"/>
          </w:tcPr>
          <w:p w14:paraId="7ADE1EB6" w14:textId="2913DB05" w:rsidR="001C3FB7" w:rsidRPr="00D02D38" w:rsidRDefault="001C3FB7" w:rsidP="006536E4">
            <w:pPr>
              <w:contextualSpacing/>
              <w:jc w:val="center"/>
              <w:rPr>
                <w:rFonts w:cstheme="minorHAnsi"/>
                <w:b/>
                <w:sz w:val="24"/>
                <w:szCs w:val="24"/>
              </w:rPr>
            </w:pPr>
            <w:proofErr w:type="spellStart"/>
            <w:r w:rsidRPr="00D02D38">
              <w:rPr>
                <w:rFonts w:cstheme="minorHAnsi"/>
                <w:b/>
                <w:sz w:val="24"/>
                <w:szCs w:val="24"/>
              </w:rPr>
              <w:t>Yr</w:t>
            </w:r>
            <w:proofErr w:type="spellEnd"/>
            <w:r w:rsidRPr="00D02D38">
              <w:rPr>
                <w:rFonts w:cstheme="minorHAnsi"/>
                <w:b/>
                <w:sz w:val="24"/>
                <w:szCs w:val="24"/>
              </w:rPr>
              <w:t xml:space="preserve"> 1</w:t>
            </w:r>
            <w:r>
              <w:rPr>
                <w:rFonts w:cstheme="minorHAnsi"/>
                <w:b/>
                <w:sz w:val="24"/>
                <w:szCs w:val="24"/>
              </w:rPr>
              <w:t xml:space="preserve"> June (75%)</w:t>
            </w:r>
          </w:p>
        </w:tc>
        <w:tc>
          <w:tcPr>
            <w:tcW w:w="1843" w:type="dxa"/>
          </w:tcPr>
          <w:p w14:paraId="364D1FBC" w14:textId="4FE1F97E" w:rsidR="001C3FB7" w:rsidRPr="00AA6CD4" w:rsidRDefault="001C3FB7" w:rsidP="006536E4">
            <w:pPr>
              <w:contextualSpacing/>
              <w:jc w:val="center"/>
              <w:rPr>
                <w:rFonts w:cstheme="minorHAnsi"/>
                <w:b/>
                <w:sz w:val="24"/>
                <w:szCs w:val="24"/>
              </w:rPr>
            </w:pPr>
            <w:proofErr w:type="spellStart"/>
            <w:r>
              <w:rPr>
                <w:rFonts w:cstheme="minorHAnsi"/>
                <w:b/>
                <w:sz w:val="24"/>
                <w:szCs w:val="24"/>
              </w:rPr>
              <w:t>Yr</w:t>
            </w:r>
            <w:proofErr w:type="spellEnd"/>
            <w:r>
              <w:rPr>
                <w:rFonts w:cstheme="minorHAnsi"/>
                <w:b/>
                <w:sz w:val="24"/>
                <w:szCs w:val="24"/>
              </w:rPr>
              <w:t xml:space="preserve"> 2 June (80%)</w:t>
            </w:r>
            <w:r w:rsidRPr="00D02D38">
              <w:rPr>
                <w:rFonts w:cstheme="minorHAnsi"/>
                <w:b/>
                <w:sz w:val="24"/>
                <w:szCs w:val="24"/>
              </w:rPr>
              <w:t xml:space="preserve"> </w:t>
            </w:r>
          </w:p>
        </w:tc>
      </w:tr>
      <w:tr w:rsidR="001C3FB7" w:rsidRPr="00D02D38" w14:paraId="449B2401" w14:textId="77777777" w:rsidTr="006536E4">
        <w:tc>
          <w:tcPr>
            <w:tcW w:w="2971" w:type="dxa"/>
          </w:tcPr>
          <w:p w14:paraId="3F20457F" w14:textId="77777777" w:rsidR="001C3FB7" w:rsidRPr="00D02D38" w:rsidRDefault="001C3FB7" w:rsidP="001C3FB7">
            <w:pPr>
              <w:contextualSpacing/>
              <w:rPr>
                <w:rFonts w:cstheme="minorHAnsi"/>
                <w:sz w:val="24"/>
                <w:szCs w:val="24"/>
              </w:rPr>
            </w:pPr>
            <w:r w:rsidRPr="00D02D38">
              <w:rPr>
                <w:rFonts w:cstheme="minorHAnsi"/>
                <w:sz w:val="24"/>
                <w:szCs w:val="24"/>
              </w:rPr>
              <w:t>BMC</w:t>
            </w:r>
          </w:p>
        </w:tc>
        <w:tc>
          <w:tcPr>
            <w:tcW w:w="1849" w:type="dxa"/>
          </w:tcPr>
          <w:p w14:paraId="5416F107" w14:textId="77777777" w:rsidR="001C3FB7" w:rsidRPr="001C3FB7" w:rsidRDefault="001C3FB7" w:rsidP="001C3FB7">
            <w:pPr>
              <w:contextualSpacing/>
              <w:jc w:val="center"/>
              <w:rPr>
                <w:rFonts w:cstheme="minorHAnsi"/>
                <w:color w:val="000000" w:themeColor="text1"/>
                <w:sz w:val="24"/>
                <w:szCs w:val="24"/>
              </w:rPr>
            </w:pPr>
            <w:r w:rsidRPr="001C3FB7">
              <w:rPr>
                <w:rFonts w:cstheme="minorHAnsi"/>
                <w:color w:val="000000" w:themeColor="text1"/>
                <w:sz w:val="24"/>
                <w:szCs w:val="24"/>
              </w:rPr>
              <w:t>59.5</w:t>
            </w:r>
          </w:p>
        </w:tc>
        <w:tc>
          <w:tcPr>
            <w:tcW w:w="1843" w:type="dxa"/>
          </w:tcPr>
          <w:p w14:paraId="0F2975DC" w14:textId="4DBBFF03" w:rsidR="001C3FB7" w:rsidRPr="001C3FB7" w:rsidRDefault="001C3FB7" w:rsidP="001C3FB7">
            <w:pPr>
              <w:contextualSpacing/>
              <w:jc w:val="center"/>
              <w:rPr>
                <w:rFonts w:cstheme="minorHAnsi"/>
                <w:color w:val="000000" w:themeColor="text1"/>
                <w:sz w:val="24"/>
                <w:szCs w:val="24"/>
              </w:rPr>
            </w:pPr>
            <w:r w:rsidRPr="001C3FB7">
              <w:rPr>
                <w:rFonts w:cstheme="minorHAnsi"/>
                <w:color w:val="000000" w:themeColor="text1"/>
                <w:sz w:val="24"/>
                <w:szCs w:val="24"/>
              </w:rPr>
              <w:t>61.8</w:t>
            </w:r>
          </w:p>
        </w:tc>
      </w:tr>
      <w:tr w:rsidR="001C3FB7" w:rsidRPr="00D02D38" w14:paraId="7B425EA4" w14:textId="77777777" w:rsidTr="006536E4">
        <w:tc>
          <w:tcPr>
            <w:tcW w:w="2971" w:type="dxa"/>
          </w:tcPr>
          <w:p w14:paraId="0EC12537" w14:textId="77777777" w:rsidR="001C3FB7" w:rsidRPr="00D02D38" w:rsidRDefault="001C3FB7" w:rsidP="001C3FB7">
            <w:pPr>
              <w:contextualSpacing/>
              <w:rPr>
                <w:rFonts w:cstheme="minorHAnsi"/>
                <w:sz w:val="24"/>
                <w:szCs w:val="24"/>
              </w:rPr>
            </w:pPr>
            <w:r w:rsidRPr="00D02D38">
              <w:rPr>
                <w:rFonts w:cstheme="minorHAnsi"/>
                <w:sz w:val="24"/>
                <w:szCs w:val="24"/>
              </w:rPr>
              <w:t>CAFRE</w:t>
            </w:r>
          </w:p>
        </w:tc>
        <w:tc>
          <w:tcPr>
            <w:tcW w:w="1849" w:type="dxa"/>
          </w:tcPr>
          <w:p w14:paraId="22BD6335" w14:textId="77777777" w:rsidR="001C3FB7" w:rsidRPr="001C3FB7" w:rsidRDefault="001C3FB7" w:rsidP="001C3FB7">
            <w:pPr>
              <w:contextualSpacing/>
              <w:jc w:val="center"/>
              <w:rPr>
                <w:rFonts w:cstheme="minorHAnsi"/>
                <w:color w:val="000000" w:themeColor="text1"/>
                <w:sz w:val="24"/>
                <w:szCs w:val="24"/>
              </w:rPr>
            </w:pPr>
            <w:r w:rsidRPr="001C3FB7">
              <w:rPr>
                <w:rFonts w:cstheme="minorHAnsi"/>
                <w:color w:val="000000" w:themeColor="text1"/>
                <w:sz w:val="24"/>
                <w:szCs w:val="24"/>
              </w:rPr>
              <w:t>67.2</w:t>
            </w:r>
          </w:p>
        </w:tc>
        <w:tc>
          <w:tcPr>
            <w:tcW w:w="1843" w:type="dxa"/>
          </w:tcPr>
          <w:p w14:paraId="5693B2E2" w14:textId="00C325C1" w:rsidR="001C3FB7" w:rsidRPr="001C3FB7" w:rsidRDefault="001C3FB7" w:rsidP="001C3FB7">
            <w:pPr>
              <w:contextualSpacing/>
              <w:jc w:val="center"/>
              <w:rPr>
                <w:rFonts w:cstheme="minorHAnsi"/>
                <w:color w:val="000000" w:themeColor="text1"/>
                <w:sz w:val="24"/>
                <w:szCs w:val="24"/>
              </w:rPr>
            </w:pPr>
            <w:r w:rsidRPr="001C3FB7">
              <w:rPr>
                <w:rFonts w:cstheme="minorHAnsi"/>
                <w:color w:val="000000" w:themeColor="text1"/>
                <w:sz w:val="24"/>
                <w:szCs w:val="24"/>
              </w:rPr>
              <w:t>66.7</w:t>
            </w:r>
          </w:p>
        </w:tc>
      </w:tr>
      <w:tr w:rsidR="001C3FB7" w:rsidRPr="00D02D38" w14:paraId="7E760B25" w14:textId="77777777" w:rsidTr="006536E4">
        <w:tc>
          <w:tcPr>
            <w:tcW w:w="2971" w:type="dxa"/>
          </w:tcPr>
          <w:p w14:paraId="3C35B1EA" w14:textId="77777777" w:rsidR="001C3FB7" w:rsidRPr="00D02D38" w:rsidRDefault="001C3FB7" w:rsidP="001C3FB7">
            <w:pPr>
              <w:contextualSpacing/>
              <w:rPr>
                <w:rFonts w:cstheme="minorHAnsi"/>
                <w:sz w:val="24"/>
                <w:szCs w:val="24"/>
              </w:rPr>
            </w:pPr>
            <w:r w:rsidRPr="00D02D38">
              <w:rPr>
                <w:rFonts w:cstheme="minorHAnsi"/>
                <w:sz w:val="24"/>
                <w:szCs w:val="24"/>
              </w:rPr>
              <w:t>NRC</w:t>
            </w:r>
          </w:p>
        </w:tc>
        <w:tc>
          <w:tcPr>
            <w:tcW w:w="1849" w:type="dxa"/>
          </w:tcPr>
          <w:p w14:paraId="72F72D0E" w14:textId="77777777" w:rsidR="001C3FB7" w:rsidRPr="001C3FB7" w:rsidRDefault="001C3FB7" w:rsidP="001C3FB7">
            <w:pPr>
              <w:contextualSpacing/>
              <w:jc w:val="center"/>
              <w:rPr>
                <w:rFonts w:cstheme="minorHAnsi"/>
                <w:color w:val="000000" w:themeColor="text1"/>
                <w:sz w:val="24"/>
                <w:szCs w:val="24"/>
              </w:rPr>
            </w:pPr>
            <w:r w:rsidRPr="001C3FB7">
              <w:rPr>
                <w:rFonts w:cstheme="minorHAnsi"/>
                <w:color w:val="000000" w:themeColor="text1"/>
                <w:sz w:val="24"/>
                <w:szCs w:val="24"/>
              </w:rPr>
              <w:t>63.0</w:t>
            </w:r>
          </w:p>
        </w:tc>
        <w:tc>
          <w:tcPr>
            <w:tcW w:w="1843" w:type="dxa"/>
          </w:tcPr>
          <w:p w14:paraId="0F886421" w14:textId="6B2C1C22" w:rsidR="001C3FB7" w:rsidRPr="001C3FB7" w:rsidRDefault="001C3FB7" w:rsidP="001C3FB7">
            <w:pPr>
              <w:contextualSpacing/>
              <w:jc w:val="center"/>
              <w:rPr>
                <w:rFonts w:cstheme="minorHAnsi"/>
                <w:color w:val="000000" w:themeColor="text1"/>
                <w:sz w:val="24"/>
                <w:szCs w:val="24"/>
              </w:rPr>
            </w:pPr>
            <w:r w:rsidRPr="001C3FB7">
              <w:rPr>
                <w:rFonts w:cstheme="minorHAnsi"/>
                <w:color w:val="000000" w:themeColor="text1"/>
                <w:sz w:val="24"/>
                <w:szCs w:val="24"/>
              </w:rPr>
              <w:t>64.4</w:t>
            </w:r>
          </w:p>
        </w:tc>
      </w:tr>
      <w:tr w:rsidR="001C3FB7" w:rsidRPr="00D02D38" w14:paraId="613738B6" w14:textId="77777777" w:rsidTr="006536E4">
        <w:tc>
          <w:tcPr>
            <w:tcW w:w="2971" w:type="dxa"/>
          </w:tcPr>
          <w:p w14:paraId="11967D62" w14:textId="77777777" w:rsidR="001C3FB7" w:rsidRPr="00D02D38" w:rsidRDefault="001C3FB7" w:rsidP="001C3FB7">
            <w:pPr>
              <w:contextualSpacing/>
              <w:rPr>
                <w:rFonts w:cstheme="minorHAnsi"/>
                <w:sz w:val="24"/>
                <w:szCs w:val="24"/>
              </w:rPr>
            </w:pPr>
            <w:r w:rsidRPr="00D02D38">
              <w:rPr>
                <w:rFonts w:cstheme="minorHAnsi"/>
                <w:sz w:val="24"/>
                <w:szCs w:val="24"/>
              </w:rPr>
              <w:t>NWRC</w:t>
            </w:r>
          </w:p>
        </w:tc>
        <w:tc>
          <w:tcPr>
            <w:tcW w:w="1849" w:type="dxa"/>
          </w:tcPr>
          <w:p w14:paraId="5554E4A7" w14:textId="77777777" w:rsidR="001C3FB7" w:rsidRPr="001C3FB7" w:rsidRDefault="001C3FB7" w:rsidP="001C3FB7">
            <w:pPr>
              <w:contextualSpacing/>
              <w:jc w:val="center"/>
              <w:rPr>
                <w:rFonts w:cstheme="minorHAnsi"/>
                <w:color w:val="000000" w:themeColor="text1"/>
                <w:sz w:val="24"/>
                <w:szCs w:val="24"/>
              </w:rPr>
            </w:pPr>
            <w:r w:rsidRPr="001C3FB7">
              <w:rPr>
                <w:rFonts w:cstheme="minorHAnsi"/>
                <w:color w:val="000000" w:themeColor="text1"/>
                <w:sz w:val="24"/>
                <w:szCs w:val="24"/>
              </w:rPr>
              <w:t>46.3</w:t>
            </w:r>
          </w:p>
        </w:tc>
        <w:tc>
          <w:tcPr>
            <w:tcW w:w="1843" w:type="dxa"/>
          </w:tcPr>
          <w:p w14:paraId="34D4C285" w14:textId="38064A9E" w:rsidR="001C3FB7" w:rsidRPr="001C3FB7" w:rsidRDefault="001C3FB7" w:rsidP="001C3FB7">
            <w:pPr>
              <w:contextualSpacing/>
              <w:jc w:val="center"/>
              <w:rPr>
                <w:rFonts w:cstheme="minorHAnsi"/>
                <w:color w:val="000000" w:themeColor="text1"/>
                <w:sz w:val="24"/>
                <w:szCs w:val="24"/>
              </w:rPr>
            </w:pPr>
            <w:r w:rsidRPr="001C3FB7">
              <w:rPr>
                <w:rFonts w:cstheme="minorHAnsi"/>
                <w:color w:val="000000" w:themeColor="text1"/>
                <w:sz w:val="24"/>
                <w:szCs w:val="24"/>
              </w:rPr>
              <w:t>58.6</w:t>
            </w:r>
          </w:p>
        </w:tc>
      </w:tr>
      <w:tr w:rsidR="001C3FB7" w:rsidRPr="00D02D38" w14:paraId="0FE568DD" w14:textId="77777777" w:rsidTr="006536E4">
        <w:tc>
          <w:tcPr>
            <w:tcW w:w="2971" w:type="dxa"/>
          </w:tcPr>
          <w:p w14:paraId="1E879A80" w14:textId="77777777" w:rsidR="001C3FB7" w:rsidRPr="00D02D38" w:rsidRDefault="001C3FB7" w:rsidP="001C3FB7">
            <w:pPr>
              <w:contextualSpacing/>
              <w:rPr>
                <w:rFonts w:cstheme="minorHAnsi"/>
                <w:sz w:val="24"/>
                <w:szCs w:val="24"/>
              </w:rPr>
            </w:pPr>
            <w:r w:rsidRPr="00D02D38">
              <w:rPr>
                <w:rFonts w:cstheme="minorHAnsi"/>
                <w:sz w:val="24"/>
                <w:szCs w:val="24"/>
              </w:rPr>
              <w:t>SERC</w:t>
            </w:r>
          </w:p>
        </w:tc>
        <w:tc>
          <w:tcPr>
            <w:tcW w:w="1849" w:type="dxa"/>
          </w:tcPr>
          <w:p w14:paraId="533EE80E" w14:textId="77777777" w:rsidR="001C3FB7" w:rsidRPr="001C3FB7" w:rsidRDefault="001C3FB7" w:rsidP="001C3FB7">
            <w:pPr>
              <w:contextualSpacing/>
              <w:jc w:val="center"/>
              <w:rPr>
                <w:rFonts w:cstheme="minorHAnsi"/>
                <w:color w:val="000000" w:themeColor="text1"/>
                <w:sz w:val="24"/>
                <w:szCs w:val="24"/>
              </w:rPr>
            </w:pPr>
            <w:r w:rsidRPr="001C3FB7">
              <w:rPr>
                <w:rFonts w:cstheme="minorHAnsi"/>
                <w:color w:val="000000" w:themeColor="text1"/>
                <w:sz w:val="24"/>
                <w:szCs w:val="24"/>
              </w:rPr>
              <w:t>55.5</w:t>
            </w:r>
          </w:p>
        </w:tc>
        <w:tc>
          <w:tcPr>
            <w:tcW w:w="1843" w:type="dxa"/>
          </w:tcPr>
          <w:p w14:paraId="2F594CD6" w14:textId="375C6459" w:rsidR="001C3FB7" w:rsidRPr="001C3FB7" w:rsidRDefault="001C3FB7" w:rsidP="001C3FB7">
            <w:pPr>
              <w:contextualSpacing/>
              <w:jc w:val="center"/>
              <w:rPr>
                <w:rFonts w:cstheme="minorHAnsi"/>
                <w:color w:val="000000" w:themeColor="text1"/>
                <w:sz w:val="24"/>
                <w:szCs w:val="24"/>
              </w:rPr>
            </w:pPr>
            <w:r w:rsidRPr="001C3FB7">
              <w:rPr>
                <w:rFonts w:cstheme="minorHAnsi"/>
                <w:color w:val="000000" w:themeColor="text1"/>
                <w:sz w:val="24"/>
                <w:szCs w:val="24"/>
              </w:rPr>
              <w:t>63.2</w:t>
            </w:r>
          </w:p>
        </w:tc>
      </w:tr>
      <w:tr w:rsidR="001C3FB7" w:rsidRPr="00D02D38" w14:paraId="0BCEE4EE" w14:textId="77777777" w:rsidTr="006536E4">
        <w:tc>
          <w:tcPr>
            <w:tcW w:w="2971" w:type="dxa"/>
          </w:tcPr>
          <w:p w14:paraId="6EF4A5D2" w14:textId="77777777" w:rsidR="001C3FB7" w:rsidRPr="00D02D38" w:rsidRDefault="001C3FB7" w:rsidP="001C3FB7">
            <w:pPr>
              <w:contextualSpacing/>
              <w:rPr>
                <w:rFonts w:cstheme="minorHAnsi"/>
                <w:sz w:val="24"/>
                <w:szCs w:val="24"/>
              </w:rPr>
            </w:pPr>
            <w:r w:rsidRPr="00D02D38">
              <w:rPr>
                <w:rFonts w:cstheme="minorHAnsi"/>
                <w:sz w:val="24"/>
                <w:szCs w:val="24"/>
              </w:rPr>
              <w:t>SRC</w:t>
            </w:r>
          </w:p>
        </w:tc>
        <w:tc>
          <w:tcPr>
            <w:tcW w:w="1849" w:type="dxa"/>
          </w:tcPr>
          <w:p w14:paraId="3A8A6AB1" w14:textId="77777777" w:rsidR="001C3FB7" w:rsidRPr="001C3FB7" w:rsidRDefault="001C3FB7" w:rsidP="001C3FB7">
            <w:pPr>
              <w:contextualSpacing/>
              <w:jc w:val="center"/>
              <w:rPr>
                <w:rFonts w:cstheme="minorHAnsi"/>
                <w:color w:val="000000" w:themeColor="text1"/>
                <w:sz w:val="24"/>
                <w:szCs w:val="24"/>
              </w:rPr>
            </w:pPr>
            <w:r w:rsidRPr="001C3FB7">
              <w:rPr>
                <w:rFonts w:cstheme="minorHAnsi"/>
                <w:color w:val="000000" w:themeColor="text1"/>
                <w:sz w:val="24"/>
                <w:szCs w:val="24"/>
              </w:rPr>
              <w:t>56.1</w:t>
            </w:r>
          </w:p>
        </w:tc>
        <w:tc>
          <w:tcPr>
            <w:tcW w:w="1843" w:type="dxa"/>
          </w:tcPr>
          <w:p w14:paraId="6B2BD673" w14:textId="1D0A60B5" w:rsidR="001C3FB7" w:rsidRPr="001C3FB7" w:rsidRDefault="001C3FB7" w:rsidP="001C3FB7">
            <w:pPr>
              <w:contextualSpacing/>
              <w:jc w:val="center"/>
              <w:rPr>
                <w:rFonts w:cstheme="minorHAnsi"/>
                <w:color w:val="000000" w:themeColor="text1"/>
                <w:sz w:val="24"/>
                <w:szCs w:val="24"/>
              </w:rPr>
            </w:pPr>
            <w:r w:rsidRPr="001C3FB7">
              <w:rPr>
                <w:rFonts w:cstheme="minorHAnsi"/>
                <w:color w:val="000000" w:themeColor="text1"/>
                <w:sz w:val="24"/>
                <w:szCs w:val="24"/>
              </w:rPr>
              <w:t>72.7</w:t>
            </w:r>
          </w:p>
        </w:tc>
      </w:tr>
      <w:tr w:rsidR="001C3FB7" w:rsidRPr="00D02D38" w14:paraId="0FCE9B56" w14:textId="77777777" w:rsidTr="006536E4">
        <w:tc>
          <w:tcPr>
            <w:tcW w:w="2971" w:type="dxa"/>
          </w:tcPr>
          <w:p w14:paraId="1B312859" w14:textId="77777777" w:rsidR="001C3FB7" w:rsidRPr="00D02D38" w:rsidRDefault="001C3FB7" w:rsidP="001C3FB7">
            <w:pPr>
              <w:contextualSpacing/>
              <w:rPr>
                <w:rFonts w:cstheme="minorHAnsi"/>
                <w:sz w:val="24"/>
                <w:szCs w:val="24"/>
              </w:rPr>
            </w:pPr>
            <w:r w:rsidRPr="00D02D38">
              <w:rPr>
                <w:rFonts w:cstheme="minorHAnsi"/>
                <w:sz w:val="24"/>
                <w:szCs w:val="24"/>
              </w:rPr>
              <w:t>SWC</w:t>
            </w:r>
          </w:p>
        </w:tc>
        <w:tc>
          <w:tcPr>
            <w:tcW w:w="1849" w:type="dxa"/>
          </w:tcPr>
          <w:p w14:paraId="47E5A66A" w14:textId="77777777" w:rsidR="001C3FB7" w:rsidRPr="001C3FB7" w:rsidRDefault="001C3FB7" w:rsidP="001C3FB7">
            <w:pPr>
              <w:contextualSpacing/>
              <w:jc w:val="center"/>
              <w:rPr>
                <w:rFonts w:cstheme="minorHAnsi"/>
                <w:color w:val="000000" w:themeColor="text1"/>
                <w:sz w:val="24"/>
                <w:szCs w:val="24"/>
              </w:rPr>
            </w:pPr>
            <w:r w:rsidRPr="001C3FB7">
              <w:rPr>
                <w:rFonts w:cstheme="minorHAnsi"/>
                <w:color w:val="000000" w:themeColor="text1"/>
                <w:sz w:val="24"/>
                <w:szCs w:val="24"/>
              </w:rPr>
              <w:t>68.0</w:t>
            </w:r>
          </w:p>
        </w:tc>
        <w:tc>
          <w:tcPr>
            <w:tcW w:w="1843" w:type="dxa"/>
          </w:tcPr>
          <w:p w14:paraId="502E004E" w14:textId="787A2961" w:rsidR="001C3FB7" w:rsidRPr="001C3FB7" w:rsidRDefault="001C3FB7" w:rsidP="001C3FB7">
            <w:pPr>
              <w:contextualSpacing/>
              <w:jc w:val="center"/>
              <w:rPr>
                <w:rFonts w:cstheme="minorHAnsi"/>
                <w:color w:val="000000" w:themeColor="text1"/>
                <w:sz w:val="24"/>
                <w:szCs w:val="24"/>
              </w:rPr>
            </w:pPr>
            <w:r w:rsidRPr="001C3FB7">
              <w:rPr>
                <w:rFonts w:cstheme="minorHAnsi"/>
                <w:color w:val="000000" w:themeColor="text1"/>
                <w:sz w:val="24"/>
                <w:szCs w:val="24"/>
              </w:rPr>
              <w:t>71.6</w:t>
            </w:r>
          </w:p>
        </w:tc>
      </w:tr>
    </w:tbl>
    <w:p w14:paraId="7E44405D" w14:textId="01925784" w:rsidR="001C3FB7" w:rsidRDefault="001C3FB7"/>
    <w:p w14:paraId="14094975" w14:textId="7D18C99F" w:rsidR="001C3FB7" w:rsidRPr="00D02D38" w:rsidRDefault="001C3FB7" w:rsidP="001C3FB7">
      <w:pPr>
        <w:contextualSpacing/>
        <w:rPr>
          <w:rFonts w:cstheme="minorHAnsi"/>
          <w:b/>
        </w:rPr>
      </w:pPr>
      <w:r w:rsidRPr="00D02D38">
        <w:rPr>
          <w:rFonts w:cstheme="minorHAnsi"/>
          <w:b/>
        </w:rPr>
        <w:t>HE Provision Success</w:t>
      </w:r>
      <w:r>
        <w:rPr>
          <w:rFonts w:cstheme="minorHAnsi"/>
          <w:b/>
        </w:rPr>
        <w:t xml:space="preserve"> 2</w:t>
      </w:r>
      <w:r w:rsidRPr="00D02D38">
        <w:rPr>
          <w:rFonts w:cstheme="minorHAnsi"/>
          <w:b/>
        </w:rPr>
        <w:t xml:space="preserve"> Rates 2017/18: Part-time </w:t>
      </w:r>
    </w:p>
    <w:p w14:paraId="4353C759" w14:textId="77777777" w:rsidR="001C3FB7" w:rsidRPr="00D02D38" w:rsidRDefault="001C3FB7" w:rsidP="001C3FB7">
      <w:pPr>
        <w:ind w:left="360"/>
        <w:contextualSpacing/>
        <w:rPr>
          <w:rFonts w:cstheme="minorHAnsi"/>
          <w:b/>
        </w:rPr>
      </w:pPr>
    </w:p>
    <w:tbl>
      <w:tblPr>
        <w:tblStyle w:val="TableGrid"/>
        <w:tblW w:w="6379" w:type="dxa"/>
        <w:tblInd w:w="-5" w:type="dxa"/>
        <w:tblLayout w:type="fixed"/>
        <w:tblLook w:val="04A0" w:firstRow="1" w:lastRow="0" w:firstColumn="1" w:lastColumn="0" w:noHBand="0" w:noVBand="1"/>
      </w:tblPr>
      <w:tblGrid>
        <w:gridCol w:w="2977"/>
        <w:gridCol w:w="1134"/>
        <w:gridCol w:w="1134"/>
        <w:gridCol w:w="1134"/>
      </w:tblGrid>
      <w:tr w:rsidR="001C3FB7" w:rsidRPr="00D02D38" w14:paraId="7F4E6DF3" w14:textId="77777777" w:rsidTr="001C3FB7">
        <w:tc>
          <w:tcPr>
            <w:tcW w:w="2977" w:type="dxa"/>
          </w:tcPr>
          <w:p w14:paraId="001383DE" w14:textId="77777777" w:rsidR="001C3FB7" w:rsidRPr="00D02D38" w:rsidRDefault="001C3FB7" w:rsidP="006536E4">
            <w:pPr>
              <w:contextualSpacing/>
              <w:rPr>
                <w:rFonts w:cstheme="minorHAnsi"/>
                <w:b/>
                <w:sz w:val="24"/>
                <w:szCs w:val="24"/>
              </w:rPr>
            </w:pPr>
            <w:r w:rsidRPr="00D02D38">
              <w:rPr>
                <w:rFonts w:cstheme="minorHAnsi"/>
                <w:b/>
                <w:sz w:val="24"/>
                <w:szCs w:val="24"/>
              </w:rPr>
              <w:t>Institution</w:t>
            </w:r>
          </w:p>
        </w:tc>
        <w:tc>
          <w:tcPr>
            <w:tcW w:w="1134" w:type="dxa"/>
          </w:tcPr>
          <w:p w14:paraId="07B689A8" w14:textId="0270AB76" w:rsidR="001C3FB7" w:rsidRPr="00D02D38" w:rsidRDefault="001C3FB7" w:rsidP="006536E4">
            <w:pPr>
              <w:contextualSpacing/>
              <w:jc w:val="center"/>
              <w:rPr>
                <w:rFonts w:cstheme="minorHAnsi"/>
                <w:sz w:val="24"/>
                <w:szCs w:val="24"/>
              </w:rPr>
            </w:pPr>
            <w:r>
              <w:rPr>
                <w:rFonts w:cstheme="minorHAnsi"/>
                <w:b/>
                <w:sz w:val="24"/>
                <w:szCs w:val="24"/>
              </w:rPr>
              <w:t>Year 1 June (75%)</w:t>
            </w:r>
          </w:p>
        </w:tc>
        <w:tc>
          <w:tcPr>
            <w:tcW w:w="1134" w:type="dxa"/>
          </w:tcPr>
          <w:p w14:paraId="2425CD00" w14:textId="77777777" w:rsidR="001C3FB7" w:rsidRDefault="001C3FB7" w:rsidP="006536E4">
            <w:pPr>
              <w:contextualSpacing/>
              <w:jc w:val="center"/>
              <w:rPr>
                <w:rFonts w:cstheme="minorHAnsi"/>
                <w:b/>
                <w:sz w:val="24"/>
                <w:szCs w:val="24"/>
              </w:rPr>
            </w:pPr>
            <w:r>
              <w:rPr>
                <w:rFonts w:cstheme="minorHAnsi"/>
                <w:b/>
                <w:sz w:val="24"/>
                <w:szCs w:val="24"/>
              </w:rPr>
              <w:t>Year 2 June</w:t>
            </w:r>
          </w:p>
          <w:p w14:paraId="22A168A3" w14:textId="1D134E5C" w:rsidR="001C3FB7" w:rsidRPr="00D02D38" w:rsidRDefault="001C3FB7" w:rsidP="006536E4">
            <w:pPr>
              <w:contextualSpacing/>
              <w:jc w:val="center"/>
              <w:rPr>
                <w:rFonts w:cstheme="minorHAnsi"/>
                <w:b/>
                <w:sz w:val="24"/>
                <w:szCs w:val="24"/>
              </w:rPr>
            </w:pPr>
            <w:r>
              <w:rPr>
                <w:rFonts w:cstheme="minorHAnsi"/>
                <w:b/>
                <w:sz w:val="24"/>
                <w:szCs w:val="24"/>
              </w:rPr>
              <w:t>(75%)</w:t>
            </w:r>
          </w:p>
        </w:tc>
        <w:tc>
          <w:tcPr>
            <w:tcW w:w="1134" w:type="dxa"/>
          </w:tcPr>
          <w:p w14:paraId="626847A8" w14:textId="77777777" w:rsidR="001C3FB7" w:rsidRDefault="001C3FB7" w:rsidP="006536E4">
            <w:pPr>
              <w:contextualSpacing/>
              <w:jc w:val="center"/>
              <w:rPr>
                <w:rFonts w:cstheme="minorHAnsi"/>
                <w:b/>
                <w:sz w:val="24"/>
                <w:szCs w:val="24"/>
              </w:rPr>
            </w:pPr>
            <w:r>
              <w:rPr>
                <w:rFonts w:cstheme="minorHAnsi"/>
                <w:b/>
                <w:sz w:val="24"/>
                <w:szCs w:val="24"/>
              </w:rPr>
              <w:t>Year 3 June</w:t>
            </w:r>
          </w:p>
          <w:p w14:paraId="71B88BF1" w14:textId="776DB17F" w:rsidR="001C3FB7" w:rsidRPr="00D02D38" w:rsidRDefault="001C3FB7" w:rsidP="006536E4">
            <w:pPr>
              <w:contextualSpacing/>
              <w:jc w:val="center"/>
              <w:rPr>
                <w:rFonts w:cstheme="minorHAnsi"/>
                <w:b/>
                <w:sz w:val="24"/>
                <w:szCs w:val="24"/>
              </w:rPr>
            </w:pPr>
            <w:r>
              <w:rPr>
                <w:rFonts w:cstheme="minorHAnsi"/>
                <w:b/>
                <w:sz w:val="24"/>
                <w:szCs w:val="24"/>
              </w:rPr>
              <w:t>(80%)</w:t>
            </w:r>
          </w:p>
        </w:tc>
      </w:tr>
      <w:tr w:rsidR="001C3FB7" w:rsidRPr="00D02D38" w14:paraId="51186CD7" w14:textId="77777777" w:rsidTr="001C3FB7">
        <w:tc>
          <w:tcPr>
            <w:tcW w:w="2977" w:type="dxa"/>
          </w:tcPr>
          <w:p w14:paraId="7EDCF038" w14:textId="77777777" w:rsidR="001C3FB7" w:rsidRPr="00D02D38" w:rsidRDefault="001C3FB7" w:rsidP="006536E4">
            <w:pPr>
              <w:contextualSpacing/>
              <w:rPr>
                <w:rFonts w:cstheme="minorHAnsi"/>
                <w:sz w:val="24"/>
                <w:szCs w:val="24"/>
              </w:rPr>
            </w:pPr>
            <w:r w:rsidRPr="00D02D38">
              <w:rPr>
                <w:rFonts w:cstheme="minorHAnsi"/>
                <w:sz w:val="24"/>
                <w:szCs w:val="24"/>
              </w:rPr>
              <w:t>BMC</w:t>
            </w:r>
          </w:p>
        </w:tc>
        <w:tc>
          <w:tcPr>
            <w:tcW w:w="1134" w:type="dxa"/>
          </w:tcPr>
          <w:p w14:paraId="7CF898BD"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71.2</w:t>
            </w:r>
          </w:p>
        </w:tc>
        <w:tc>
          <w:tcPr>
            <w:tcW w:w="1134" w:type="dxa"/>
          </w:tcPr>
          <w:p w14:paraId="2A8A949F"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55.7</w:t>
            </w:r>
          </w:p>
        </w:tc>
        <w:tc>
          <w:tcPr>
            <w:tcW w:w="1134" w:type="dxa"/>
          </w:tcPr>
          <w:p w14:paraId="074BBFC1"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78.3</w:t>
            </w:r>
          </w:p>
        </w:tc>
      </w:tr>
      <w:tr w:rsidR="001C3FB7" w:rsidRPr="00D02D38" w14:paraId="18E9C43C" w14:textId="77777777" w:rsidTr="001C3FB7">
        <w:tc>
          <w:tcPr>
            <w:tcW w:w="2977" w:type="dxa"/>
          </w:tcPr>
          <w:p w14:paraId="311467A6" w14:textId="77777777" w:rsidR="001C3FB7" w:rsidRPr="00D02D38" w:rsidRDefault="001C3FB7" w:rsidP="006536E4">
            <w:pPr>
              <w:contextualSpacing/>
              <w:rPr>
                <w:rFonts w:cstheme="minorHAnsi"/>
                <w:sz w:val="24"/>
                <w:szCs w:val="24"/>
              </w:rPr>
            </w:pPr>
            <w:r w:rsidRPr="00D02D38">
              <w:rPr>
                <w:rFonts w:cstheme="minorHAnsi"/>
                <w:sz w:val="24"/>
                <w:szCs w:val="24"/>
              </w:rPr>
              <w:t>CAFRE</w:t>
            </w:r>
          </w:p>
        </w:tc>
        <w:tc>
          <w:tcPr>
            <w:tcW w:w="1134" w:type="dxa"/>
          </w:tcPr>
          <w:p w14:paraId="76D90FDC"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36.7</w:t>
            </w:r>
          </w:p>
        </w:tc>
        <w:tc>
          <w:tcPr>
            <w:tcW w:w="1134" w:type="dxa"/>
          </w:tcPr>
          <w:p w14:paraId="103C8F21"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56.7</w:t>
            </w:r>
          </w:p>
        </w:tc>
        <w:tc>
          <w:tcPr>
            <w:tcW w:w="1134" w:type="dxa"/>
          </w:tcPr>
          <w:p w14:paraId="36CB7A43"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57.1</w:t>
            </w:r>
          </w:p>
        </w:tc>
      </w:tr>
      <w:tr w:rsidR="001C3FB7" w:rsidRPr="00D02D38" w14:paraId="571CFB20" w14:textId="77777777" w:rsidTr="001C3FB7">
        <w:tc>
          <w:tcPr>
            <w:tcW w:w="2977" w:type="dxa"/>
          </w:tcPr>
          <w:p w14:paraId="5B1A0172" w14:textId="77777777" w:rsidR="001C3FB7" w:rsidRPr="00D02D38" w:rsidRDefault="001C3FB7" w:rsidP="006536E4">
            <w:pPr>
              <w:contextualSpacing/>
              <w:rPr>
                <w:rFonts w:cstheme="minorHAnsi"/>
                <w:sz w:val="24"/>
                <w:szCs w:val="24"/>
              </w:rPr>
            </w:pPr>
            <w:r w:rsidRPr="00D02D38">
              <w:rPr>
                <w:rFonts w:cstheme="minorHAnsi"/>
                <w:sz w:val="24"/>
                <w:szCs w:val="24"/>
              </w:rPr>
              <w:t>NRC</w:t>
            </w:r>
          </w:p>
        </w:tc>
        <w:tc>
          <w:tcPr>
            <w:tcW w:w="1134" w:type="dxa"/>
          </w:tcPr>
          <w:p w14:paraId="0FB64F7A"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71.9</w:t>
            </w:r>
          </w:p>
        </w:tc>
        <w:tc>
          <w:tcPr>
            <w:tcW w:w="1134" w:type="dxa"/>
          </w:tcPr>
          <w:p w14:paraId="71953234"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44.1</w:t>
            </w:r>
          </w:p>
        </w:tc>
        <w:tc>
          <w:tcPr>
            <w:tcW w:w="1134" w:type="dxa"/>
          </w:tcPr>
          <w:p w14:paraId="2A7AE3B5"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69.6</w:t>
            </w:r>
          </w:p>
        </w:tc>
      </w:tr>
      <w:tr w:rsidR="001C3FB7" w:rsidRPr="00D02D38" w14:paraId="0A2DEFDE" w14:textId="77777777" w:rsidTr="001C3FB7">
        <w:tc>
          <w:tcPr>
            <w:tcW w:w="2977" w:type="dxa"/>
          </w:tcPr>
          <w:p w14:paraId="0DDAD9A3" w14:textId="77777777" w:rsidR="001C3FB7" w:rsidRPr="00D02D38" w:rsidRDefault="001C3FB7" w:rsidP="006536E4">
            <w:pPr>
              <w:contextualSpacing/>
              <w:rPr>
                <w:rFonts w:cstheme="minorHAnsi"/>
                <w:sz w:val="24"/>
                <w:szCs w:val="24"/>
              </w:rPr>
            </w:pPr>
            <w:r w:rsidRPr="00D02D38">
              <w:rPr>
                <w:rFonts w:cstheme="minorHAnsi"/>
                <w:sz w:val="24"/>
                <w:szCs w:val="24"/>
              </w:rPr>
              <w:t>NWRC</w:t>
            </w:r>
          </w:p>
        </w:tc>
        <w:tc>
          <w:tcPr>
            <w:tcW w:w="1134" w:type="dxa"/>
          </w:tcPr>
          <w:p w14:paraId="1FDC01FB"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72.0</w:t>
            </w:r>
          </w:p>
        </w:tc>
        <w:tc>
          <w:tcPr>
            <w:tcW w:w="1134" w:type="dxa"/>
          </w:tcPr>
          <w:p w14:paraId="2716F7EB"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55.4</w:t>
            </w:r>
          </w:p>
        </w:tc>
        <w:tc>
          <w:tcPr>
            <w:tcW w:w="1134" w:type="dxa"/>
          </w:tcPr>
          <w:p w14:paraId="086C13B9"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73.4</w:t>
            </w:r>
          </w:p>
        </w:tc>
      </w:tr>
      <w:tr w:rsidR="001C3FB7" w:rsidRPr="00D02D38" w14:paraId="55E73041" w14:textId="77777777" w:rsidTr="001C3FB7">
        <w:tc>
          <w:tcPr>
            <w:tcW w:w="2977" w:type="dxa"/>
          </w:tcPr>
          <w:p w14:paraId="1F57BB51" w14:textId="77777777" w:rsidR="001C3FB7" w:rsidRPr="00D02D38" w:rsidRDefault="001C3FB7" w:rsidP="006536E4">
            <w:pPr>
              <w:contextualSpacing/>
              <w:rPr>
                <w:rFonts w:cstheme="minorHAnsi"/>
                <w:sz w:val="24"/>
                <w:szCs w:val="24"/>
              </w:rPr>
            </w:pPr>
            <w:r w:rsidRPr="00D02D38">
              <w:rPr>
                <w:rFonts w:cstheme="minorHAnsi"/>
                <w:sz w:val="24"/>
                <w:szCs w:val="24"/>
              </w:rPr>
              <w:t>SERC</w:t>
            </w:r>
          </w:p>
        </w:tc>
        <w:tc>
          <w:tcPr>
            <w:tcW w:w="1134" w:type="dxa"/>
          </w:tcPr>
          <w:p w14:paraId="03B9D797"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56.9</w:t>
            </w:r>
          </w:p>
        </w:tc>
        <w:tc>
          <w:tcPr>
            <w:tcW w:w="1134" w:type="dxa"/>
          </w:tcPr>
          <w:p w14:paraId="3D0F1871"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59.2</w:t>
            </w:r>
          </w:p>
        </w:tc>
        <w:tc>
          <w:tcPr>
            <w:tcW w:w="1134" w:type="dxa"/>
          </w:tcPr>
          <w:p w14:paraId="5E455C5E"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61.1</w:t>
            </w:r>
          </w:p>
        </w:tc>
      </w:tr>
      <w:tr w:rsidR="001C3FB7" w:rsidRPr="00D02D38" w14:paraId="5A8D78BC" w14:textId="77777777" w:rsidTr="001C3FB7">
        <w:tc>
          <w:tcPr>
            <w:tcW w:w="2977" w:type="dxa"/>
          </w:tcPr>
          <w:p w14:paraId="21331C36" w14:textId="77777777" w:rsidR="001C3FB7" w:rsidRPr="00D02D38" w:rsidRDefault="001C3FB7" w:rsidP="006536E4">
            <w:pPr>
              <w:contextualSpacing/>
              <w:rPr>
                <w:rFonts w:cstheme="minorHAnsi"/>
                <w:sz w:val="24"/>
                <w:szCs w:val="24"/>
              </w:rPr>
            </w:pPr>
            <w:r w:rsidRPr="00D02D38">
              <w:rPr>
                <w:rFonts w:cstheme="minorHAnsi"/>
                <w:sz w:val="24"/>
                <w:szCs w:val="24"/>
              </w:rPr>
              <w:t>SRC</w:t>
            </w:r>
          </w:p>
        </w:tc>
        <w:tc>
          <w:tcPr>
            <w:tcW w:w="1134" w:type="dxa"/>
          </w:tcPr>
          <w:p w14:paraId="40CDFAFD"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70.2</w:t>
            </w:r>
          </w:p>
        </w:tc>
        <w:tc>
          <w:tcPr>
            <w:tcW w:w="1134" w:type="dxa"/>
          </w:tcPr>
          <w:p w14:paraId="002DC909"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59.8</w:t>
            </w:r>
          </w:p>
        </w:tc>
        <w:tc>
          <w:tcPr>
            <w:tcW w:w="1134" w:type="dxa"/>
          </w:tcPr>
          <w:p w14:paraId="6E91707A"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66.7</w:t>
            </w:r>
          </w:p>
        </w:tc>
      </w:tr>
      <w:tr w:rsidR="001C3FB7" w:rsidRPr="00D02D38" w14:paraId="7972CFAA" w14:textId="77777777" w:rsidTr="001C3FB7">
        <w:tc>
          <w:tcPr>
            <w:tcW w:w="2977" w:type="dxa"/>
          </w:tcPr>
          <w:p w14:paraId="005DAF26" w14:textId="77777777" w:rsidR="001C3FB7" w:rsidRPr="00D02D38" w:rsidRDefault="001C3FB7" w:rsidP="006536E4">
            <w:pPr>
              <w:contextualSpacing/>
              <w:rPr>
                <w:rFonts w:cstheme="minorHAnsi"/>
                <w:sz w:val="24"/>
                <w:szCs w:val="24"/>
              </w:rPr>
            </w:pPr>
            <w:r w:rsidRPr="00D02D38">
              <w:rPr>
                <w:rFonts w:cstheme="minorHAnsi"/>
                <w:sz w:val="24"/>
                <w:szCs w:val="24"/>
              </w:rPr>
              <w:t>SWC</w:t>
            </w:r>
          </w:p>
        </w:tc>
        <w:tc>
          <w:tcPr>
            <w:tcW w:w="1134" w:type="dxa"/>
          </w:tcPr>
          <w:p w14:paraId="2514F908"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74.5</w:t>
            </w:r>
          </w:p>
        </w:tc>
        <w:tc>
          <w:tcPr>
            <w:tcW w:w="1134" w:type="dxa"/>
          </w:tcPr>
          <w:p w14:paraId="6310D6B2"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62.5</w:t>
            </w:r>
          </w:p>
        </w:tc>
        <w:tc>
          <w:tcPr>
            <w:tcW w:w="1134" w:type="dxa"/>
          </w:tcPr>
          <w:p w14:paraId="3A6FCE2D" w14:textId="77777777" w:rsidR="001C3FB7" w:rsidRPr="001C3FB7" w:rsidRDefault="001C3FB7" w:rsidP="006536E4">
            <w:pPr>
              <w:contextualSpacing/>
              <w:jc w:val="center"/>
              <w:rPr>
                <w:rFonts w:cstheme="minorHAnsi"/>
                <w:color w:val="000000" w:themeColor="text1"/>
                <w:sz w:val="24"/>
                <w:szCs w:val="24"/>
              </w:rPr>
            </w:pPr>
            <w:r w:rsidRPr="001C3FB7">
              <w:rPr>
                <w:rFonts w:cstheme="minorHAnsi"/>
                <w:color w:val="000000" w:themeColor="text1"/>
                <w:sz w:val="24"/>
                <w:szCs w:val="24"/>
              </w:rPr>
              <w:t>58.3</w:t>
            </w:r>
          </w:p>
        </w:tc>
      </w:tr>
    </w:tbl>
    <w:p w14:paraId="66341E5F" w14:textId="3AFBE2B5" w:rsidR="001C3FB7" w:rsidRDefault="001C3FB7"/>
    <w:p w14:paraId="6C34FCAA" w14:textId="77777777" w:rsidR="001C3FB7" w:rsidRDefault="001C3FB7"/>
    <w:sectPr w:rsidR="001C3FB7" w:rsidSect="00EC580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B7"/>
    <w:rsid w:val="000A7BD7"/>
    <w:rsid w:val="001C3FB7"/>
    <w:rsid w:val="003566AA"/>
    <w:rsid w:val="003D7B4C"/>
    <w:rsid w:val="00566199"/>
    <w:rsid w:val="00585E54"/>
    <w:rsid w:val="00760E44"/>
    <w:rsid w:val="009E4ED5"/>
    <w:rsid w:val="00A36426"/>
    <w:rsid w:val="00AF5E26"/>
    <w:rsid w:val="00D851C0"/>
    <w:rsid w:val="00EC508F"/>
    <w:rsid w:val="00EC5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27E9"/>
  <w14:defaultImageDpi w14:val="32767"/>
  <w15:chartTrackingRefBased/>
  <w15:docId w15:val="{E16E4CCB-352A-644D-9C17-E983A2BE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FB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Paris</dc:creator>
  <cp:keywords/>
  <dc:description/>
  <cp:lastModifiedBy>Gaston, Andrina</cp:lastModifiedBy>
  <cp:revision>4</cp:revision>
  <cp:lastPrinted>2019-01-18T11:53:00Z</cp:lastPrinted>
  <dcterms:created xsi:type="dcterms:W3CDTF">2019-01-18T11:43:00Z</dcterms:created>
  <dcterms:modified xsi:type="dcterms:W3CDTF">2019-01-18T11:54:00Z</dcterms:modified>
</cp:coreProperties>
</file>