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7895" w:rsidRDefault="00094C89">
      <w:pPr>
        <w:rPr>
          <w:b/>
        </w:rPr>
      </w:pPr>
      <w:r w:rsidRPr="00094C89">
        <w:rPr>
          <w:b/>
        </w:rPr>
        <w:t>CRITERIA FOR THE APPOINTMENT OF EXTERNAL EXAMINERS</w:t>
      </w:r>
    </w:p>
    <w:p w:rsidR="00832C4F" w:rsidRPr="00832C4F" w:rsidRDefault="00832C4F">
      <w:pPr>
        <w:rPr>
          <w:b/>
          <w:sz w:val="22"/>
          <w:szCs w:val="22"/>
        </w:rPr>
      </w:pPr>
      <w:r w:rsidRPr="00832C4F">
        <w:rPr>
          <w:b/>
          <w:sz w:val="22"/>
          <w:szCs w:val="22"/>
        </w:rPr>
        <w:t>(N</w:t>
      </w:r>
      <w:r w:rsidR="00B23330">
        <w:rPr>
          <w:b/>
          <w:sz w:val="22"/>
          <w:szCs w:val="22"/>
        </w:rPr>
        <w:t>OTE: link to External examiner C</w:t>
      </w:r>
      <w:r w:rsidRPr="00832C4F">
        <w:rPr>
          <w:b/>
          <w:sz w:val="22"/>
          <w:szCs w:val="22"/>
        </w:rPr>
        <w:t>ode of Practice can be found at:</w:t>
      </w:r>
    </w:p>
    <w:p w:rsidR="00832C4F" w:rsidRPr="00832C4F" w:rsidRDefault="00832C4F" w:rsidP="00832C4F">
      <w:pPr>
        <w:rPr>
          <w:b/>
          <w:sz w:val="22"/>
          <w:szCs w:val="22"/>
        </w:rPr>
      </w:pPr>
      <w:r w:rsidRPr="00832C4F">
        <w:rPr>
          <w:b/>
          <w:sz w:val="22"/>
          <w:szCs w:val="22"/>
          <w:u w:val="single"/>
        </w:rPr>
        <w:t>http://www.ulster.ac.uk/academicoffice/externalexaminer.html</w:t>
      </w:r>
      <w:r w:rsidRPr="00832C4F">
        <w:rPr>
          <w:b/>
          <w:sz w:val="22"/>
          <w:szCs w:val="22"/>
        </w:rPr>
        <w:t>)</w:t>
      </w:r>
    </w:p>
    <w:tbl>
      <w:tblPr>
        <w:tblStyle w:val="TableGrid"/>
        <w:tblpPr w:leftFromText="180" w:rightFromText="180" w:vertAnchor="page" w:horzAnchor="margin" w:tblpXSpec="center" w:tblpY="1655"/>
        <w:tblW w:w="10490" w:type="dxa"/>
        <w:tblLook w:val="04A0" w:firstRow="1" w:lastRow="0" w:firstColumn="1" w:lastColumn="0" w:noHBand="0" w:noVBand="1"/>
      </w:tblPr>
      <w:tblGrid>
        <w:gridCol w:w="9002"/>
        <w:gridCol w:w="1488"/>
      </w:tblGrid>
      <w:tr w:rsidR="005A5B1A" w:rsidRPr="009F7C4E" w:rsidTr="005A5B1A">
        <w:tc>
          <w:tcPr>
            <w:tcW w:w="9002" w:type="dxa"/>
          </w:tcPr>
          <w:p w:rsidR="005A5B1A" w:rsidRPr="009F7C4E" w:rsidRDefault="005A5B1A" w:rsidP="005A5B1A">
            <w:pPr>
              <w:rPr>
                <w:rFonts w:ascii="Arial" w:hAnsi="Arial" w:cs="Arial"/>
                <w:b/>
                <w:color w:val="000000"/>
                <w:sz w:val="10"/>
                <w:szCs w:val="10"/>
              </w:rPr>
            </w:pPr>
          </w:p>
          <w:p w:rsidR="005A5B1A" w:rsidRPr="009F7C4E" w:rsidRDefault="005A5B1A" w:rsidP="005A5B1A">
            <w:pPr>
              <w:rPr>
                <w:rFonts w:ascii="Arial" w:hAnsi="Arial" w:cs="Arial"/>
                <w:b/>
                <w:color w:val="000000"/>
                <w:sz w:val="22"/>
                <w:szCs w:val="22"/>
              </w:rPr>
            </w:pPr>
            <w:r w:rsidRPr="009F7C4E">
              <w:rPr>
                <w:rFonts w:ascii="Arial" w:hAnsi="Arial" w:cs="Arial"/>
                <w:b/>
                <w:color w:val="000000"/>
                <w:sz w:val="22"/>
                <w:szCs w:val="22"/>
              </w:rPr>
              <w:t>Every external examiner will be expected to have:</w:t>
            </w:r>
          </w:p>
          <w:p w:rsidR="005A5B1A" w:rsidRPr="009F7C4E" w:rsidRDefault="005A5B1A" w:rsidP="005A5B1A">
            <w:pPr>
              <w:rPr>
                <w:b/>
                <w:sz w:val="10"/>
                <w:szCs w:val="10"/>
              </w:rPr>
            </w:pPr>
          </w:p>
        </w:tc>
        <w:tc>
          <w:tcPr>
            <w:tcW w:w="1488" w:type="dxa"/>
          </w:tcPr>
          <w:p w:rsidR="005A5B1A" w:rsidRPr="009F7C4E" w:rsidRDefault="005A5B1A" w:rsidP="005A5B1A">
            <w:pPr>
              <w:rPr>
                <w:b/>
                <w:sz w:val="10"/>
                <w:szCs w:val="10"/>
              </w:rPr>
            </w:pPr>
          </w:p>
          <w:p w:rsidR="005A5B1A" w:rsidRPr="009F7C4E" w:rsidRDefault="005A5B1A" w:rsidP="005A5B1A">
            <w:pPr>
              <w:rPr>
                <w:b/>
                <w:sz w:val="22"/>
                <w:szCs w:val="22"/>
              </w:rPr>
            </w:pPr>
            <w:r>
              <w:rPr>
                <w:b/>
                <w:sz w:val="22"/>
                <w:szCs w:val="22"/>
              </w:rPr>
              <w:t>Addressed?</w:t>
            </w:r>
          </w:p>
        </w:tc>
      </w:tr>
      <w:tr w:rsidR="005A5B1A" w:rsidTr="005A5B1A">
        <w:trPr>
          <w:trHeight w:val="781"/>
        </w:trPr>
        <w:tc>
          <w:tcPr>
            <w:tcW w:w="9002" w:type="dxa"/>
          </w:tcPr>
          <w:p w:rsidR="005A5B1A" w:rsidRDefault="005A5B1A" w:rsidP="005A5B1A">
            <w:pPr>
              <w:pStyle w:val="ListParagraph"/>
              <w:numPr>
                <w:ilvl w:val="0"/>
                <w:numId w:val="1"/>
              </w:numPr>
              <w:ind w:left="317" w:right="34" w:hanging="317"/>
              <w:jc w:val="both"/>
            </w:pPr>
            <w:r w:rsidRPr="00800B63">
              <w:rPr>
                <w:rFonts w:ascii="Arial" w:hAnsi="Arial" w:cs="Arial"/>
                <w:color w:val="000000"/>
                <w:sz w:val="20"/>
                <w:szCs w:val="20"/>
              </w:rPr>
              <w:t>knowledge and understanding of UK sector agreed reference points for the maintenance of academic standards and assurance and enhancement of quality;</w:t>
            </w:r>
          </w:p>
        </w:tc>
        <w:tc>
          <w:tcPr>
            <w:tcW w:w="1488" w:type="dxa"/>
          </w:tcPr>
          <w:p w:rsidR="005A5B1A" w:rsidRPr="009F7C4E" w:rsidRDefault="005A5B1A" w:rsidP="005A5B1A">
            <w:pPr>
              <w:rPr>
                <w:sz w:val="20"/>
                <w:szCs w:val="20"/>
              </w:rPr>
            </w:pPr>
          </w:p>
        </w:tc>
      </w:tr>
      <w:tr w:rsidR="005A5B1A" w:rsidTr="005A5B1A">
        <w:trPr>
          <w:trHeight w:val="420"/>
        </w:trPr>
        <w:tc>
          <w:tcPr>
            <w:tcW w:w="9002" w:type="dxa"/>
          </w:tcPr>
          <w:p w:rsidR="005A5B1A" w:rsidRPr="00800B63" w:rsidRDefault="005A5B1A" w:rsidP="005A5B1A">
            <w:pPr>
              <w:pStyle w:val="ListParagraph"/>
              <w:numPr>
                <w:ilvl w:val="0"/>
                <w:numId w:val="1"/>
              </w:numPr>
              <w:autoSpaceDE w:val="0"/>
              <w:autoSpaceDN w:val="0"/>
              <w:adjustRightInd w:val="0"/>
              <w:ind w:left="317" w:right="34" w:hanging="317"/>
              <w:jc w:val="both"/>
              <w:rPr>
                <w:rFonts w:ascii="Arial" w:hAnsi="Arial" w:cs="Arial"/>
                <w:color w:val="000000"/>
                <w:sz w:val="20"/>
                <w:szCs w:val="20"/>
              </w:rPr>
            </w:pPr>
            <w:r w:rsidRPr="00800B63">
              <w:rPr>
                <w:rFonts w:ascii="Arial" w:hAnsi="Arial" w:cs="Arial"/>
                <w:color w:val="000000"/>
                <w:sz w:val="20"/>
                <w:szCs w:val="20"/>
              </w:rPr>
              <w:t>competence and experience in the fields covered by the programme of study, or parts thereof;</w:t>
            </w:r>
          </w:p>
          <w:p w:rsidR="005A5B1A" w:rsidRPr="00824901" w:rsidRDefault="005A5B1A" w:rsidP="005A5B1A">
            <w:pPr>
              <w:rPr>
                <w:rFonts w:ascii="Arial" w:hAnsi="Arial" w:cs="Arial"/>
                <w:color w:val="000000"/>
                <w:sz w:val="22"/>
                <w:szCs w:val="22"/>
              </w:rPr>
            </w:pPr>
          </w:p>
        </w:tc>
        <w:tc>
          <w:tcPr>
            <w:tcW w:w="1488" w:type="dxa"/>
          </w:tcPr>
          <w:p w:rsidR="005A5B1A" w:rsidRPr="009F7C4E" w:rsidRDefault="005A5B1A" w:rsidP="005A5B1A">
            <w:pPr>
              <w:rPr>
                <w:sz w:val="20"/>
                <w:szCs w:val="20"/>
              </w:rPr>
            </w:pPr>
          </w:p>
        </w:tc>
      </w:tr>
      <w:tr w:rsidR="005A5B1A" w:rsidTr="005A5B1A">
        <w:trPr>
          <w:trHeight w:val="555"/>
        </w:trPr>
        <w:tc>
          <w:tcPr>
            <w:tcW w:w="9002" w:type="dxa"/>
          </w:tcPr>
          <w:p w:rsidR="005A5B1A" w:rsidRPr="00800B63" w:rsidRDefault="005A5B1A" w:rsidP="005A5B1A">
            <w:pPr>
              <w:pStyle w:val="ListParagraph"/>
              <w:numPr>
                <w:ilvl w:val="0"/>
                <w:numId w:val="1"/>
              </w:numPr>
              <w:autoSpaceDE w:val="0"/>
              <w:autoSpaceDN w:val="0"/>
              <w:adjustRightInd w:val="0"/>
              <w:ind w:left="317" w:right="34" w:hanging="317"/>
              <w:jc w:val="both"/>
              <w:rPr>
                <w:rFonts w:ascii="Arial" w:hAnsi="Arial" w:cs="Arial"/>
                <w:color w:val="000000"/>
                <w:sz w:val="20"/>
                <w:szCs w:val="20"/>
              </w:rPr>
            </w:pPr>
            <w:r w:rsidRPr="00800B63">
              <w:rPr>
                <w:rFonts w:ascii="Arial" w:hAnsi="Arial" w:cs="Arial"/>
                <w:color w:val="000000"/>
                <w:sz w:val="20"/>
                <w:szCs w:val="20"/>
              </w:rPr>
              <w:t xml:space="preserve">relevant academic and/or professional qualifications to at least the level of the qualification being externally examined, and/or extensive practitioner experience where appropriate;  </w:t>
            </w:r>
          </w:p>
          <w:p w:rsidR="005A5B1A" w:rsidRPr="00800B63" w:rsidRDefault="005A5B1A" w:rsidP="005A5B1A">
            <w:pPr>
              <w:rPr>
                <w:rFonts w:ascii="Arial" w:hAnsi="Arial" w:cs="Arial"/>
                <w:color w:val="000000"/>
                <w:sz w:val="20"/>
                <w:szCs w:val="20"/>
              </w:rPr>
            </w:pPr>
          </w:p>
        </w:tc>
        <w:tc>
          <w:tcPr>
            <w:tcW w:w="1488" w:type="dxa"/>
          </w:tcPr>
          <w:p w:rsidR="005A5B1A" w:rsidRPr="009F7C4E" w:rsidRDefault="005A5B1A" w:rsidP="005A5B1A">
            <w:pPr>
              <w:rPr>
                <w:sz w:val="20"/>
                <w:szCs w:val="20"/>
              </w:rPr>
            </w:pPr>
          </w:p>
        </w:tc>
      </w:tr>
      <w:tr w:rsidR="005A5B1A" w:rsidTr="005A5B1A">
        <w:trPr>
          <w:trHeight w:val="570"/>
        </w:trPr>
        <w:tc>
          <w:tcPr>
            <w:tcW w:w="9002" w:type="dxa"/>
          </w:tcPr>
          <w:p w:rsidR="005A5B1A" w:rsidRPr="00800B63" w:rsidRDefault="005A5B1A" w:rsidP="005A5B1A">
            <w:pPr>
              <w:pStyle w:val="ListParagraph"/>
              <w:numPr>
                <w:ilvl w:val="0"/>
                <w:numId w:val="1"/>
              </w:numPr>
              <w:autoSpaceDE w:val="0"/>
              <w:autoSpaceDN w:val="0"/>
              <w:adjustRightInd w:val="0"/>
              <w:ind w:left="317" w:right="34" w:hanging="317"/>
              <w:jc w:val="both"/>
              <w:rPr>
                <w:rFonts w:ascii="Arial" w:hAnsi="Arial" w:cs="Arial"/>
                <w:sz w:val="20"/>
                <w:szCs w:val="20"/>
              </w:rPr>
            </w:pPr>
            <w:r w:rsidRPr="00800B63">
              <w:rPr>
                <w:rFonts w:ascii="Arial" w:hAnsi="Arial" w:cs="Arial"/>
                <w:color w:val="000000"/>
                <w:sz w:val="20"/>
                <w:szCs w:val="20"/>
              </w:rPr>
              <w:t>competence and experience relating to designing and operating a variety of assessment tasks appropriate to the subject and operating assessment procedures;</w:t>
            </w:r>
          </w:p>
          <w:p w:rsidR="005A5B1A" w:rsidRPr="00800B63" w:rsidRDefault="005A5B1A" w:rsidP="005A5B1A">
            <w:pPr>
              <w:rPr>
                <w:rFonts w:ascii="Arial" w:hAnsi="Arial" w:cs="Arial"/>
                <w:color w:val="000000"/>
                <w:sz w:val="20"/>
                <w:szCs w:val="20"/>
              </w:rPr>
            </w:pPr>
          </w:p>
        </w:tc>
        <w:tc>
          <w:tcPr>
            <w:tcW w:w="1488" w:type="dxa"/>
          </w:tcPr>
          <w:p w:rsidR="005A5B1A" w:rsidRPr="009F7C4E" w:rsidRDefault="005A5B1A" w:rsidP="005A5B1A">
            <w:pPr>
              <w:rPr>
                <w:sz w:val="20"/>
                <w:szCs w:val="20"/>
              </w:rPr>
            </w:pPr>
          </w:p>
        </w:tc>
      </w:tr>
      <w:tr w:rsidR="005A5B1A" w:rsidTr="005A5B1A">
        <w:trPr>
          <w:trHeight w:val="1110"/>
        </w:trPr>
        <w:tc>
          <w:tcPr>
            <w:tcW w:w="9002" w:type="dxa"/>
          </w:tcPr>
          <w:p w:rsidR="005A5B1A" w:rsidRPr="00800B63" w:rsidRDefault="005A5B1A" w:rsidP="005A5B1A">
            <w:pPr>
              <w:pStyle w:val="ListParagraph"/>
              <w:numPr>
                <w:ilvl w:val="0"/>
                <w:numId w:val="1"/>
              </w:numPr>
              <w:autoSpaceDE w:val="0"/>
              <w:autoSpaceDN w:val="0"/>
              <w:adjustRightInd w:val="0"/>
              <w:ind w:left="317" w:right="34" w:hanging="317"/>
              <w:jc w:val="both"/>
              <w:rPr>
                <w:rFonts w:ascii="Arial" w:hAnsi="Arial" w:cs="Arial"/>
                <w:color w:val="000000"/>
                <w:sz w:val="20"/>
                <w:szCs w:val="20"/>
              </w:rPr>
            </w:pPr>
            <w:r w:rsidRPr="00800B63">
              <w:rPr>
                <w:rFonts w:ascii="Arial" w:hAnsi="Arial" w:cs="Arial"/>
                <w:color w:val="000000"/>
                <w:sz w:val="20"/>
                <w:szCs w:val="20"/>
              </w:rPr>
              <w:t>sufficient standing, credibility and breadth of experience within the discipline to be able to command the respect of academic peers and, where appropriate, professional peers. (The Higher Education Academy may be a useful resource to assist in identifying persons willing to serve in this capacity);</w:t>
            </w:r>
          </w:p>
          <w:p w:rsidR="005A5B1A" w:rsidRPr="00800B63" w:rsidRDefault="005A5B1A" w:rsidP="005A5B1A">
            <w:pPr>
              <w:rPr>
                <w:rFonts w:ascii="Arial" w:hAnsi="Arial" w:cs="Arial"/>
                <w:color w:val="000000"/>
                <w:sz w:val="20"/>
                <w:szCs w:val="20"/>
              </w:rPr>
            </w:pPr>
          </w:p>
        </w:tc>
        <w:tc>
          <w:tcPr>
            <w:tcW w:w="1488" w:type="dxa"/>
          </w:tcPr>
          <w:p w:rsidR="005A5B1A" w:rsidRPr="009F7C4E" w:rsidRDefault="005A5B1A" w:rsidP="005A5B1A">
            <w:pPr>
              <w:rPr>
                <w:sz w:val="20"/>
                <w:szCs w:val="20"/>
              </w:rPr>
            </w:pPr>
          </w:p>
        </w:tc>
      </w:tr>
      <w:tr w:rsidR="005A5B1A" w:rsidTr="005A5B1A">
        <w:trPr>
          <w:trHeight w:val="660"/>
        </w:trPr>
        <w:tc>
          <w:tcPr>
            <w:tcW w:w="9002" w:type="dxa"/>
          </w:tcPr>
          <w:p w:rsidR="005A5B1A" w:rsidRPr="00800B63" w:rsidRDefault="005A5B1A" w:rsidP="005A5B1A">
            <w:pPr>
              <w:pStyle w:val="ListParagraph"/>
              <w:numPr>
                <w:ilvl w:val="0"/>
                <w:numId w:val="1"/>
              </w:numPr>
              <w:autoSpaceDE w:val="0"/>
              <w:autoSpaceDN w:val="0"/>
              <w:adjustRightInd w:val="0"/>
              <w:ind w:left="317" w:right="34" w:hanging="317"/>
              <w:jc w:val="both"/>
              <w:rPr>
                <w:rFonts w:ascii="Arial" w:hAnsi="Arial" w:cs="Arial"/>
                <w:color w:val="000000"/>
                <w:sz w:val="20"/>
                <w:szCs w:val="20"/>
              </w:rPr>
            </w:pPr>
            <w:r w:rsidRPr="00800B63">
              <w:rPr>
                <w:rFonts w:ascii="Arial" w:hAnsi="Arial" w:cs="Arial"/>
                <w:color w:val="000000"/>
                <w:sz w:val="20"/>
                <w:szCs w:val="20"/>
              </w:rPr>
              <w:t xml:space="preserve">familiarity with the standard to be expected of students to achieve the award that is to be assessed; </w:t>
            </w:r>
          </w:p>
          <w:p w:rsidR="005A5B1A" w:rsidRPr="00800B63" w:rsidRDefault="005A5B1A" w:rsidP="005A5B1A">
            <w:pPr>
              <w:rPr>
                <w:rFonts w:ascii="Arial" w:hAnsi="Arial" w:cs="Arial"/>
                <w:color w:val="000000"/>
                <w:sz w:val="20"/>
                <w:szCs w:val="20"/>
              </w:rPr>
            </w:pPr>
          </w:p>
        </w:tc>
        <w:tc>
          <w:tcPr>
            <w:tcW w:w="1488" w:type="dxa"/>
          </w:tcPr>
          <w:p w:rsidR="005A5B1A" w:rsidRPr="009F7C4E" w:rsidRDefault="005A5B1A" w:rsidP="005A5B1A">
            <w:pPr>
              <w:rPr>
                <w:sz w:val="20"/>
                <w:szCs w:val="20"/>
              </w:rPr>
            </w:pPr>
          </w:p>
        </w:tc>
      </w:tr>
      <w:tr w:rsidR="005A5B1A" w:rsidTr="005A5B1A">
        <w:trPr>
          <w:trHeight w:val="870"/>
        </w:trPr>
        <w:tc>
          <w:tcPr>
            <w:tcW w:w="9002" w:type="dxa"/>
          </w:tcPr>
          <w:p w:rsidR="005A5B1A" w:rsidRPr="00800B63" w:rsidRDefault="005A5B1A" w:rsidP="005A5B1A">
            <w:pPr>
              <w:pStyle w:val="ListParagraph"/>
              <w:numPr>
                <w:ilvl w:val="0"/>
                <w:numId w:val="1"/>
              </w:numPr>
              <w:autoSpaceDE w:val="0"/>
              <w:autoSpaceDN w:val="0"/>
              <w:adjustRightInd w:val="0"/>
              <w:ind w:left="317" w:right="34" w:hanging="317"/>
              <w:jc w:val="both"/>
              <w:rPr>
                <w:rFonts w:ascii="Arial" w:hAnsi="Arial" w:cs="Arial"/>
                <w:color w:val="000000"/>
                <w:sz w:val="20"/>
                <w:szCs w:val="20"/>
              </w:rPr>
            </w:pPr>
            <w:r w:rsidRPr="00800B63">
              <w:rPr>
                <w:rFonts w:ascii="Arial" w:hAnsi="Arial" w:cs="Arial"/>
                <w:color w:val="000000"/>
                <w:sz w:val="20"/>
                <w:szCs w:val="20"/>
              </w:rPr>
              <w:t>fluency in English, and where programmes are delivered and assessed in languages other than English, fluency in the relevant language(s) (unless other secure arrangements are in place to ensure that external examiners are provided with the information to make their judgements);</w:t>
            </w:r>
          </w:p>
          <w:p w:rsidR="005A5B1A" w:rsidRPr="00800B63" w:rsidRDefault="005A5B1A" w:rsidP="005A5B1A">
            <w:pPr>
              <w:rPr>
                <w:rFonts w:ascii="Arial" w:hAnsi="Arial" w:cs="Arial"/>
                <w:color w:val="000000"/>
                <w:sz w:val="20"/>
                <w:szCs w:val="20"/>
              </w:rPr>
            </w:pPr>
          </w:p>
        </w:tc>
        <w:tc>
          <w:tcPr>
            <w:tcW w:w="1488" w:type="dxa"/>
          </w:tcPr>
          <w:p w:rsidR="005A5B1A" w:rsidRPr="009F7C4E" w:rsidRDefault="005A5B1A" w:rsidP="005A5B1A">
            <w:pPr>
              <w:rPr>
                <w:sz w:val="20"/>
                <w:szCs w:val="20"/>
              </w:rPr>
            </w:pPr>
          </w:p>
        </w:tc>
      </w:tr>
      <w:tr w:rsidR="005A5B1A" w:rsidTr="005A5B1A">
        <w:trPr>
          <w:trHeight w:val="450"/>
        </w:trPr>
        <w:tc>
          <w:tcPr>
            <w:tcW w:w="9002" w:type="dxa"/>
          </w:tcPr>
          <w:p w:rsidR="005A5B1A" w:rsidRPr="00800B63" w:rsidRDefault="005A5B1A" w:rsidP="005A5B1A">
            <w:pPr>
              <w:pStyle w:val="ListParagraph"/>
              <w:numPr>
                <w:ilvl w:val="0"/>
                <w:numId w:val="1"/>
              </w:numPr>
              <w:autoSpaceDE w:val="0"/>
              <w:autoSpaceDN w:val="0"/>
              <w:adjustRightInd w:val="0"/>
              <w:ind w:left="317" w:right="34" w:hanging="317"/>
              <w:jc w:val="both"/>
              <w:rPr>
                <w:rFonts w:ascii="Arial" w:hAnsi="Arial" w:cs="Arial"/>
                <w:color w:val="000000"/>
                <w:sz w:val="20"/>
                <w:szCs w:val="20"/>
              </w:rPr>
            </w:pPr>
            <w:r w:rsidRPr="00800B63">
              <w:rPr>
                <w:rFonts w:ascii="Arial" w:hAnsi="Arial" w:cs="Arial"/>
                <w:color w:val="000000"/>
                <w:sz w:val="20"/>
                <w:szCs w:val="20"/>
              </w:rPr>
              <w:t>met applicable criteria set out by professional, statutory or regulatory  bodies;</w:t>
            </w:r>
          </w:p>
          <w:p w:rsidR="005A5B1A" w:rsidRPr="00800B63" w:rsidRDefault="005A5B1A" w:rsidP="005A5B1A">
            <w:pPr>
              <w:rPr>
                <w:rFonts w:ascii="Arial" w:hAnsi="Arial" w:cs="Arial"/>
                <w:color w:val="000000"/>
                <w:sz w:val="20"/>
                <w:szCs w:val="20"/>
              </w:rPr>
            </w:pPr>
          </w:p>
        </w:tc>
        <w:tc>
          <w:tcPr>
            <w:tcW w:w="1488" w:type="dxa"/>
          </w:tcPr>
          <w:p w:rsidR="005A5B1A" w:rsidRPr="009F7C4E" w:rsidRDefault="005A5B1A" w:rsidP="005A5B1A">
            <w:pPr>
              <w:rPr>
                <w:sz w:val="20"/>
                <w:szCs w:val="20"/>
              </w:rPr>
            </w:pPr>
          </w:p>
        </w:tc>
      </w:tr>
      <w:tr w:rsidR="005A5B1A" w:rsidTr="005A5B1A">
        <w:trPr>
          <w:trHeight w:val="360"/>
        </w:trPr>
        <w:tc>
          <w:tcPr>
            <w:tcW w:w="9002" w:type="dxa"/>
            <w:tcBorders>
              <w:bottom w:val="single" w:sz="4" w:space="0" w:color="auto"/>
            </w:tcBorders>
          </w:tcPr>
          <w:p w:rsidR="005A5B1A" w:rsidRPr="00800B63" w:rsidRDefault="005A5B1A" w:rsidP="005A5B1A">
            <w:pPr>
              <w:pStyle w:val="ListParagraph"/>
              <w:numPr>
                <w:ilvl w:val="0"/>
                <w:numId w:val="2"/>
              </w:numPr>
              <w:ind w:left="317" w:right="34" w:hanging="317"/>
              <w:rPr>
                <w:rFonts w:ascii="Arial" w:hAnsi="Arial" w:cs="Arial"/>
                <w:sz w:val="20"/>
                <w:szCs w:val="20"/>
              </w:rPr>
            </w:pPr>
            <w:r w:rsidRPr="00800B63">
              <w:rPr>
                <w:rFonts w:ascii="Arial" w:hAnsi="Arial" w:cs="Arial"/>
                <w:sz w:val="20"/>
                <w:szCs w:val="20"/>
              </w:rPr>
              <w:t>awareness of current developments in the design and delivery of relevant curricula;</w:t>
            </w:r>
          </w:p>
          <w:p w:rsidR="005A5B1A" w:rsidRPr="00800B63" w:rsidRDefault="005A5B1A" w:rsidP="005A5B1A">
            <w:pPr>
              <w:rPr>
                <w:rFonts w:ascii="Arial" w:hAnsi="Arial" w:cs="Arial"/>
                <w:color w:val="000000"/>
                <w:sz w:val="20"/>
                <w:szCs w:val="20"/>
              </w:rPr>
            </w:pPr>
          </w:p>
        </w:tc>
        <w:tc>
          <w:tcPr>
            <w:tcW w:w="1488" w:type="dxa"/>
            <w:tcBorders>
              <w:bottom w:val="single" w:sz="4" w:space="0" w:color="auto"/>
            </w:tcBorders>
          </w:tcPr>
          <w:p w:rsidR="005A5B1A" w:rsidRPr="009F7C4E" w:rsidRDefault="005A5B1A" w:rsidP="005A5B1A">
            <w:pPr>
              <w:rPr>
                <w:sz w:val="20"/>
                <w:szCs w:val="20"/>
              </w:rPr>
            </w:pPr>
          </w:p>
        </w:tc>
      </w:tr>
      <w:tr w:rsidR="005A5B1A" w:rsidTr="005A5B1A">
        <w:trPr>
          <w:trHeight w:val="430"/>
        </w:trPr>
        <w:tc>
          <w:tcPr>
            <w:tcW w:w="9002" w:type="dxa"/>
            <w:tcBorders>
              <w:bottom w:val="single" w:sz="4" w:space="0" w:color="auto"/>
            </w:tcBorders>
          </w:tcPr>
          <w:p w:rsidR="005A5B1A" w:rsidRPr="00800B63" w:rsidRDefault="005A5B1A" w:rsidP="005A5B1A">
            <w:pPr>
              <w:pStyle w:val="ListParagraph"/>
              <w:numPr>
                <w:ilvl w:val="0"/>
                <w:numId w:val="2"/>
              </w:numPr>
              <w:tabs>
                <w:tab w:val="left" w:pos="567"/>
              </w:tabs>
              <w:autoSpaceDE w:val="0"/>
              <w:autoSpaceDN w:val="0"/>
              <w:adjustRightInd w:val="0"/>
              <w:ind w:left="317" w:right="34" w:hanging="317"/>
              <w:jc w:val="both"/>
              <w:rPr>
                <w:rFonts w:ascii="Arial" w:hAnsi="Arial" w:cs="Arial"/>
                <w:color w:val="000000"/>
                <w:sz w:val="20"/>
                <w:szCs w:val="20"/>
              </w:rPr>
            </w:pPr>
            <w:r w:rsidRPr="00800B63">
              <w:rPr>
                <w:rFonts w:ascii="Arial" w:hAnsi="Arial" w:cs="Arial"/>
                <w:color w:val="000000"/>
                <w:sz w:val="20"/>
                <w:szCs w:val="20"/>
              </w:rPr>
              <w:t>competence and experience relating to the enhancement of the student learning experience.</w:t>
            </w:r>
          </w:p>
          <w:p w:rsidR="005A5B1A" w:rsidRPr="00800B63" w:rsidRDefault="005A5B1A" w:rsidP="005A5B1A">
            <w:pPr>
              <w:rPr>
                <w:rFonts w:ascii="Arial" w:hAnsi="Arial" w:cs="Arial"/>
                <w:sz w:val="20"/>
                <w:szCs w:val="20"/>
              </w:rPr>
            </w:pPr>
          </w:p>
        </w:tc>
        <w:tc>
          <w:tcPr>
            <w:tcW w:w="1488" w:type="dxa"/>
            <w:tcBorders>
              <w:bottom w:val="single" w:sz="4" w:space="0" w:color="auto"/>
            </w:tcBorders>
          </w:tcPr>
          <w:p w:rsidR="005A5B1A" w:rsidRPr="009F7C4E" w:rsidRDefault="005A5B1A" w:rsidP="005A5B1A">
            <w:pPr>
              <w:rPr>
                <w:sz w:val="20"/>
                <w:szCs w:val="20"/>
              </w:rPr>
            </w:pPr>
          </w:p>
        </w:tc>
      </w:tr>
      <w:tr w:rsidR="005A5B1A" w:rsidTr="005A5B1A">
        <w:trPr>
          <w:trHeight w:val="6090"/>
        </w:trPr>
        <w:tc>
          <w:tcPr>
            <w:tcW w:w="10490" w:type="dxa"/>
            <w:gridSpan w:val="2"/>
            <w:tcBorders>
              <w:top w:val="single" w:sz="4" w:space="0" w:color="auto"/>
              <w:left w:val="single" w:sz="4" w:space="0" w:color="auto"/>
              <w:bottom w:val="single" w:sz="4" w:space="0" w:color="auto"/>
              <w:right w:val="single" w:sz="4" w:space="0" w:color="auto"/>
            </w:tcBorders>
          </w:tcPr>
          <w:p w:rsidR="005A5B1A" w:rsidRPr="00513BBF" w:rsidRDefault="005A5B1A" w:rsidP="005A5B1A">
            <w:pPr>
              <w:jc w:val="both"/>
              <w:rPr>
                <w:rFonts w:ascii="Arial" w:hAnsi="Arial" w:cs="Arial"/>
                <w:color w:val="000000"/>
                <w:sz w:val="20"/>
                <w:szCs w:val="20"/>
                <w:u w:val="single"/>
              </w:rPr>
            </w:pPr>
          </w:p>
          <w:p w:rsidR="005A5B1A" w:rsidRPr="00513BBF" w:rsidRDefault="005A5B1A" w:rsidP="005A5B1A">
            <w:pPr>
              <w:jc w:val="both"/>
              <w:rPr>
                <w:rFonts w:ascii="Arial" w:hAnsi="Arial" w:cs="Arial"/>
                <w:color w:val="000000"/>
                <w:sz w:val="20"/>
                <w:szCs w:val="20"/>
                <w:u w:val="single"/>
              </w:rPr>
            </w:pPr>
            <w:r w:rsidRPr="00513BBF">
              <w:rPr>
                <w:rFonts w:ascii="Arial" w:hAnsi="Arial" w:cs="Arial"/>
                <w:color w:val="000000"/>
                <w:sz w:val="20"/>
                <w:szCs w:val="20"/>
                <w:u w:val="single"/>
              </w:rPr>
              <w:t>Exceptional Appointments</w:t>
            </w:r>
          </w:p>
          <w:p w:rsidR="005A5B1A" w:rsidRPr="00513BBF" w:rsidRDefault="005A5B1A" w:rsidP="005A5B1A">
            <w:pPr>
              <w:jc w:val="both"/>
              <w:rPr>
                <w:rFonts w:ascii="Arial" w:hAnsi="Arial" w:cs="Arial"/>
                <w:color w:val="000000"/>
                <w:sz w:val="20"/>
                <w:szCs w:val="20"/>
              </w:rPr>
            </w:pPr>
          </w:p>
          <w:p w:rsidR="005A5B1A" w:rsidRPr="00513BBF" w:rsidRDefault="005A5B1A" w:rsidP="005A5B1A">
            <w:pPr>
              <w:jc w:val="both"/>
              <w:rPr>
                <w:rFonts w:ascii="Arial" w:hAnsi="Arial" w:cs="Arial"/>
                <w:iCs/>
                <w:color w:val="000000"/>
                <w:sz w:val="20"/>
                <w:szCs w:val="20"/>
              </w:rPr>
            </w:pPr>
            <w:r w:rsidRPr="00513BBF">
              <w:rPr>
                <w:rFonts w:ascii="Arial" w:hAnsi="Arial" w:cs="Arial"/>
                <w:color w:val="000000"/>
                <w:sz w:val="20"/>
                <w:szCs w:val="20"/>
              </w:rPr>
              <w:t>Nominations which do not fulfil the appointment criteria may be made (see section 7 of the Code for examples and how nominees might be supported). In such cases the nomination must include a</w:t>
            </w:r>
            <w:r w:rsidRPr="00513BBF">
              <w:rPr>
                <w:rFonts w:ascii="Arial" w:hAnsi="Arial" w:cs="Arial"/>
                <w:iCs/>
                <w:color w:val="000000"/>
                <w:sz w:val="20"/>
                <w:szCs w:val="20"/>
              </w:rPr>
              <w:t xml:space="preserve"> supporting statement</w:t>
            </w:r>
            <w:r w:rsidRPr="00513BBF">
              <w:rPr>
                <w:rFonts w:ascii="Arial" w:hAnsi="Arial" w:cs="Arial"/>
                <w:iCs/>
                <w:color w:val="000000"/>
                <w:sz w:val="20"/>
                <w:szCs w:val="20"/>
                <w:lang w:val="en-US"/>
              </w:rPr>
              <w:t xml:space="preserve"> (at section 6.1 of the nomination form or appended as a separate report)</w:t>
            </w:r>
            <w:r w:rsidRPr="00513BBF">
              <w:rPr>
                <w:rFonts w:ascii="Arial" w:hAnsi="Arial" w:cs="Arial"/>
                <w:iCs/>
                <w:color w:val="000000"/>
                <w:sz w:val="20"/>
                <w:szCs w:val="20"/>
              </w:rPr>
              <w:t xml:space="preserve"> identifying the deficiency and describing how the expectations of the role would be fulfilled in terms of support and training. </w:t>
            </w:r>
          </w:p>
          <w:p w:rsidR="005A5B1A" w:rsidRPr="00513BBF" w:rsidRDefault="005A5B1A" w:rsidP="005A5B1A">
            <w:pPr>
              <w:jc w:val="both"/>
              <w:rPr>
                <w:rFonts w:ascii="Arial" w:hAnsi="Arial" w:cs="Arial"/>
                <w:iCs/>
                <w:color w:val="000000"/>
                <w:sz w:val="20"/>
                <w:szCs w:val="20"/>
              </w:rPr>
            </w:pPr>
          </w:p>
          <w:p w:rsidR="005A5B1A" w:rsidRPr="00513BBF" w:rsidRDefault="005A5B1A" w:rsidP="005A5B1A">
            <w:pPr>
              <w:jc w:val="both"/>
              <w:rPr>
                <w:rFonts w:ascii="Arial" w:hAnsi="Arial" w:cs="Arial"/>
                <w:iCs/>
                <w:color w:val="000000"/>
                <w:sz w:val="20"/>
                <w:szCs w:val="20"/>
                <w:lang w:val="en-US"/>
              </w:rPr>
            </w:pPr>
            <w:r w:rsidRPr="00513BBF">
              <w:rPr>
                <w:rFonts w:ascii="Arial" w:hAnsi="Arial" w:cs="Arial"/>
                <w:iCs/>
                <w:color w:val="000000"/>
                <w:sz w:val="20"/>
                <w:szCs w:val="20"/>
              </w:rPr>
              <w:t>Where a nominee is from outside the UK, the supporting statement must include evidence of the nominee’s knowledge and understanding of the UK sector’s</w:t>
            </w:r>
            <w:r w:rsidRPr="00513BBF">
              <w:rPr>
                <w:rFonts w:ascii="Arial" w:hAnsi="Arial" w:cs="Arial"/>
                <w:iCs/>
                <w:color w:val="000000"/>
                <w:sz w:val="20"/>
                <w:szCs w:val="20"/>
                <w:lang w:val="en-US"/>
              </w:rPr>
              <w:t xml:space="preserve"> agreed reference points for the maintenance of academic standards and assurance and enhancement of quality. </w:t>
            </w:r>
          </w:p>
          <w:p w:rsidR="005A5B1A" w:rsidRPr="00513BBF" w:rsidRDefault="005A5B1A" w:rsidP="005A5B1A">
            <w:pPr>
              <w:rPr>
                <w:rFonts w:ascii="Arial" w:hAnsi="Arial" w:cs="Arial"/>
                <w:iCs/>
                <w:color w:val="000000"/>
                <w:sz w:val="20"/>
                <w:szCs w:val="20"/>
                <w:lang w:val="en-US"/>
              </w:rPr>
            </w:pPr>
          </w:p>
          <w:p w:rsidR="005A5B1A" w:rsidRPr="00513BBF" w:rsidRDefault="005A5B1A" w:rsidP="005A5B1A">
            <w:pPr>
              <w:jc w:val="both"/>
              <w:rPr>
                <w:rFonts w:ascii="Arial" w:hAnsi="Arial" w:cs="Arial"/>
                <w:color w:val="000000"/>
                <w:sz w:val="20"/>
                <w:szCs w:val="20"/>
              </w:rPr>
            </w:pPr>
            <w:r w:rsidRPr="00513BBF">
              <w:rPr>
                <w:rFonts w:ascii="Arial" w:hAnsi="Arial" w:cs="Arial"/>
                <w:color w:val="000000"/>
                <w:sz w:val="20"/>
                <w:szCs w:val="20"/>
              </w:rPr>
              <w:t>In regard to late nominations, section 10 of the nomination form must be completed.</w:t>
            </w:r>
          </w:p>
          <w:p w:rsidR="005A5B1A" w:rsidRPr="00513BBF" w:rsidRDefault="005A5B1A" w:rsidP="005A5B1A">
            <w:pPr>
              <w:jc w:val="both"/>
              <w:rPr>
                <w:rFonts w:ascii="Arial" w:hAnsi="Arial" w:cs="Arial"/>
                <w:color w:val="000000"/>
                <w:sz w:val="20"/>
                <w:szCs w:val="20"/>
              </w:rPr>
            </w:pPr>
          </w:p>
          <w:p w:rsidR="005A5B1A" w:rsidRPr="00513BBF" w:rsidRDefault="005A5B1A" w:rsidP="005A5B1A">
            <w:pPr>
              <w:jc w:val="both"/>
              <w:rPr>
                <w:rFonts w:ascii="Arial" w:hAnsi="Arial" w:cs="Arial"/>
                <w:color w:val="000000"/>
                <w:sz w:val="20"/>
                <w:szCs w:val="20"/>
                <w:u w:val="single"/>
              </w:rPr>
            </w:pPr>
            <w:r w:rsidRPr="00513BBF">
              <w:rPr>
                <w:rFonts w:ascii="Arial" w:hAnsi="Arial" w:cs="Arial"/>
                <w:color w:val="000000"/>
                <w:sz w:val="20"/>
                <w:szCs w:val="20"/>
                <w:u w:val="single"/>
              </w:rPr>
              <w:t>NOTES</w:t>
            </w:r>
          </w:p>
          <w:p w:rsidR="005A5B1A" w:rsidRPr="00513BBF" w:rsidRDefault="005A5B1A" w:rsidP="005A5B1A">
            <w:pPr>
              <w:jc w:val="both"/>
              <w:rPr>
                <w:rFonts w:ascii="Arial" w:hAnsi="Arial" w:cs="Arial"/>
                <w:color w:val="000000"/>
                <w:sz w:val="20"/>
                <w:szCs w:val="20"/>
              </w:rPr>
            </w:pPr>
          </w:p>
          <w:p w:rsidR="005A5B1A" w:rsidRPr="00513BBF" w:rsidRDefault="005A5B1A" w:rsidP="005A5B1A">
            <w:pPr>
              <w:jc w:val="both"/>
              <w:rPr>
                <w:rFonts w:ascii="Arial" w:hAnsi="Arial" w:cs="Arial"/>
                <w:color w:val="000000"/>
                <w:sz w:val="20"/>
                <w:szCs w:val="20"/>
              </w:rPr>
            </w:pPr>
            <w:r w:rsidRPr="00513BBF">
              <w:rPr>
                <w:rFonts w:ascii="Arial" w:hAnsi="Arial" w:cs="Arial"/>
                <w:color w:val="000000"/>
                <w:sz w:val="20"/>
                <w:szCs w:val="20"/>
              </w:rPr>
              <w:t>External examiners shall not be appointed if there is any conflict of interest - see Code of Practice, Section 3 (b).</w:t>
            </w:r>
          </w:p>
          <w:p w:rsidR="005A5B1A" w:rsidRPr="00513BBF" w:rsidRDefault="005A5B1A" w:rsidP="005A5B1A">
            <w:pPr>
              <w:jc w:val="both"/>
              <w:rPr>
                <w:rFonts w:ascii="Arial" w:hAnsi="Arial" w:cs="Arial"/>
                <w:color w:val="000000"/>
                <w:sz w:val="20"/>
                <w:szCs w:val="20"/>
              </w:rPr>
            </w:pPr>
          </w:p>
          <w:p w:rsidR="005A5B1A" w:rsidRPr="00513BBF" w:rsidRDefault="005A5B1A" w:rsidP="005A5B1A">
            <w:pPr>
              <w:jc w:val="both"/>
              <w:rPr>
                <w:rFonts w:ascii="Arial" w:hAnsi="Arial" w:cs="Arial"/>
                <w:color w:val="000000"/>
                <w:sz w:val="20"/>
                <w:szCs w:val="20"/>
              </w:rPr>
            </w:pPr>
            <w:r w:rsidRPr="00513BBF">
              <w:rPr>
                <w:rFonts w:ascii="Arial" w:hAnsi="Arial" w:cs="Arial"/>
                <w:color w:val="000000"/>
                <w:sz w:val="20"/>
                <w:szCs w:val="20"/>
              </w:rPr>
              <w:t xml:space="preserve">Duration of appointment shall normally be four years with only an exceptional extension of 1 year to ensure continuity. </w:t>
            </w:r>
          </w:p>
          <w:p w:rsidR="005A5B1A" w:rsidRPr="00513BBF" w:rsidRDefault="005A5B1A" w:rsidP="005A5B1A">
            <w:pPr>
              <w:jc w:val="both"/>
              <w:rPr>
                <w:rFonts w:ascii="Arial" w:hAnsi="Arial" w:cs="Arial"/>
                <w:color w:val="000000"/>
                <w:sz w:val="20"/>
                <w:szCs w:val="20"/>
              </w:rPr>
            </w:pPr>
          </w:p>
          <w:p w:rsidR="005A5B1A" w:rsidRPr="00513BBF" w:rsidRDefault="005A5B1A" w:rsidP="005A5B1A">
            <w:pPr>
              <w:jc w:val="both"/>
              <w:rPr>
                <w:rFonts w:ascii="Arial" w:hAnsi="Arial" w:cs="Arial"/>
                <w:color w:val="000000"/>
                <w:sz w:val="20"/>
                <w:szCs w:val="20"/>
              </w:rPr>
            </w:pPr>
            <w:r w:rsidRPr="00513BBF">
              <w:rPr>
                <w:rFonts w:ascii="Arial" w:hAnsi="Arial" w:cs="Arial"/>
                <w:color w:val="000000"/>
                <w:sz w:val="20"/>
                <w:szCs w:val="20"/>
              </w:rPr>
              <w:t>An external examiner may only be reappointed ‘exceptionally’ and only after a period of 5 years has elapsed since the end of the previous appointment.</w:t>
            </w:r>
          </w:p>
          <w:p w:rsidR="005A5B1A" w:rsidRPr="00513BBF" w:rsidRDefault="005A5B1A" w:rsidP="005A5B1A">
            <w:pPr>
              <w:jc w:val="both"/>
              <w:rPr>
                <w:rFonts w:ascii="Arial" w:hAnsi="Arial" w:cs="Arial"/>
                <w:color w:val="000000"/>
                <w:sz w:val="20"/>
                <w:szCs w:val="20"/>
              </w:rPr>
            </w:pPr>
          </w:p>
          <w:p w:rsidR="005A5B1A" w:rsidRPr="00513BBF" w:rsidRDefault="005A5B1A" w:rsidP="005A5B1A">
            <w:pPr>
              <w:jc w:val="both"/>
              <w:rPr>
                <w:rFonts w:ascii="Arial" w:hAnsi="Arial" w:cs="Arial"/>
                <w:color w:val="000000"/>
                <w:sz w:val="20"/>
                <w:szCs w:val="20"/>
              </w:rPr>
            </w:pPr>
            <w:r w:rsidRPr="00513BBF">
              <w:rPr>
                <w:rFonts w:ascii="Arial" w:hAnsi="Arial" w:cs="Arial"/>
                <w:color w:val="000000"/>
                <w:sz w:val="20"/>
                <w:szCs w:val="20"/>
              </w:rPr>
              <w:t>External examiners shall normally hold no more than two examinerships at any point in time.</w:t>
            </w:r>
          </w:p>
          <w:p w:rsidR="005A5B1A" w:rsidRPr="00513BBF" w:rsidRDefault="005A5B1A" w:rsidP="005A5B1A">
            <w:pPr>
              <w:tabs>
                <w:tab w:val="left" w:pos="5970"/>
              </w:tabs>
              <w:jc w:val="both"/>
              <w:rPr>
                <w:rFonts w:ascii="Arial" w:hAnsi="Arial" w:cs="Arial"/>
                <w:color w:val="000000"/>
                <w:sz w:val="20"/>
                <w:szCs w:val="20"/>
              </w:rPr>
            </w:pPr>
            <w:r w:rsidRPr="00513BBF">
              <w:rPr>
                <w:rFonts w:ascii="Arial" w:hAnsi="Arial" w:cs="Arial"/>
                <w:color w:val="000000"/>
                <w:sz w:val="20"/>
                <w:szCs w:val="20"/>
              </w:rPr>
              <w:tab/>
            </w:r>
          </w:p>
          <w:p w:rsidR="005A5B1A" w:rsidRPr="00513BBF" w:rsidRDefault="005A5B1A" w:rsidP="005A5B1A">
            <w:pPr>
              <w:jc w:val="both"/>
              <w:rPr>
                <w:sz w:val="20"/>
                <w:szCs w:val="20"/>
              </w:rPr>
            </w:pPr>
            <w:r w:rsidRPr="00513BBF">
              <w:rPr>
                <w:rFonts w:ascii="Arial" w:hAnsi="Arial" w:cs="Arial"/>
                <w:color w:val="000000"/>
                <w:sz w:val="20"/>
                <w:szCs w:val="20"/>
              </w:rPr>
              <w:t>Normally each module is the responsibility of only one external examiner.</w:t>
            </w:r>
          </w:p>
        </w:tc>
      </w:tr>
    </w:tbl>
    <w:p w:rsidR="00800B63" w:rsidRDefault="00800B63" w:rsidP="005A5B1A">
      <w:pPr>
        <w:rPr>
          <w:b/>
        </w:rPr>
      </w:pPr>
      <w:bookmarkStart w:id="0" w:name="_GoBack"/>
      <w:bookmarkEnd w:id="0"/>
    </w:p>
    <w:p w:rsidR="005A5B1A" w:rsidRPr="005A5B1A" w:rsidRDefault="005A5B1A" w:rsidP="005A5B1A">
      <w:pPr>
        <w:ind w:left="-709"/>
        <w:rPr>
          <w:sz w:val="20"/>
          <w:szCs w:val="20"/>
          <w:u w:val="single"/>
        </w:rPr>
      </w:pPr>
      <w:r w:rsidRPr="005A5B1A">
        <w:rPr>
          <w:sz w:val="20"/>
          <w:szCs w:val="20"/>
          <w:u w:val="single"/>
        </w:rPr>
        <w:t>August 2014</w:t>
      </w:r>
    </w:p>
    <w:sectPr w:rsidR="005A5B1A" w:rsidRPr="005A5B1A" w:rsidSect="00C54A40">
      <w:pgSz w:w="11906" w:h="16838"/>
      <w:pgMar w:top="709"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CE738F"/>
    <w:multiLevelType w:val="hybridMultilevel"/>
    <w:tmpl w:val="F974A03A"/>
    <w:lvl w:ilvl="0" w:tplc="08090001">
      <w:start w:val="1"/>
      <w:numFmt w:val="bullet"/>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1" w15:restartNumberingAfterBreak="0">
    <w:nsid w:val="6D0E1121"/>
    <w:multiLevelType w:val="hybridMultilevel"/>
    <w:tmpl w:val="A0C2CCF0"/>
    <w:lvl w:ilvl="0" w:tplc="08090001">
      <w:start w:val="1"/>
      <w:numFmt w:val="bullet"/>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2" w15:restartNumberingAfterBreak="0">
    <w:nsid w:val="7A2E7C8A"/>
    <w:multiLevelType w:val="hybridMultilevel"/>
    <w:tmpl w:val="2F90F99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0B63"/>
    <w:rsid w:val="00094C89"/>
    <w:rsid w:val="000B6533"/>
    <w:rsid w:val="00363AF7"/>
    <w:rsid w:val="0044615C"/>
    <w:rsid w:val="004F00F4"/>
    <w:rsid w:val="00501BDA"/>
    <w:rsid w:val="00513BBF"/>
    <w:rsid w:val="005A5B1A"/>
    <w:rsid w:val="00800B63"/>
    <w:rsid w:val="00806524"/>
    <w:rsid w:val="00832C4F"/>
    <w:rsid w:val="009F7C4E"/>
    <w:rsid w:val="00B23330"/>
    <w:rsid w:val="00BC66DD"/>
    <w:rsid w:val="00C54A40"/>
    <w:rsid w:val="00D5699C"/>
    <w:rsid w:val="00EC0362"/>
    <w:rsid w:val="00FE41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B2E1B"/>
  <w15:docId w15:val="{E0941A15-0675-4454-805C-D87A6CD69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66DD"/>
    <w:rPr>
      <w:sz w:val="24"/>
      <w:szCs w:val="24"/>
    </w:rPr>
  </w:style>
  <w:style w:type="paragraph" w:styleId="Heading1">
    <w:name w:val="heading 1"/>
    <w:basedOn w:val="Normal"/>
    <w:next w:val="Normal"/>
    <w:link w:val="Heading1Char"/>
    <w:uiPriority w:val="9"/>
    <w:qFormat/>
    <w:rsid w:val="00BC66DD"/>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BC66DD"/>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BC66DD"/>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BC66DD"/>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BC66DD"/>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BC66DD"/>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BC66DD"/>
    <w:pPr>
      <w:spacing w:before="240" w:after="60"/>
      <w:outlineLvl w:val="6"/>
    </w:pPr>
  </w:style>
  <w:style w:type="paragraph" w:styleId="Heading8">
    <w:name w:val="heading 8"/>
    <w:basedOn w:val="Normal"/>
    <w:next w:val="Normal"/>
    <w:link w:val="Heading8Char"/>
    <w:uiPriority w:val="9"/>
    <w:semiHidden/>
    <w:unhideWhenUsed/>
    <w:qFormat/>
    <w:rsid w:val="00BC66DD"/>
    <w:pPr>
      <w:spacing w:before="240" w:after="60"/>
      <w:outlineLvl w:val="7"/>
    </w:pPr>
    <w:rPr>
      <w:i/>
      <w:iCs/>
    </w:rPr>
  </w:style>
  <w:style w:type="paragraph" w:styleId="Heading9">
    <w:name w:val="heading 9"/>
    <w:basedOn w:val="Normal"/>
    <w:next w:val="Normal"/>
    <w:link w:val="Heading9Char"/>
    <w:uiPriority w:val="9"/>
    <w:semiHidden/>
    <w:unhideWhenUsed/>
    <w:qFormat/>
    <w:rsid w:val="00BC66DD"/>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66DD"/>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BC66DD"/>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BC66DD"/>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BC66DD"/>
    <w:rPr>
      <w:b/>
      <w:bCs/>
      <w:sz w:val="28"/>
      <w:szCs w:val="28"/>
    </w:rPr>
  </w:style>
  <w:style w:type="character" w:customStyle="1" w:styleId="Heading5Char">
    <w:name w:val="Heading 5 Char"/>
    <w:basedOn w:val="DefaultParagraphFont"/>
    <w:link w:val="Heading5"/>
    <w:uiPriority w:val="9"/>
    <w:semiHidden/>
    <w:rsid w:val="00BC66DD"/>
    <w:rPr>
      <w:b/>
      <w:bCs/>
      <w:i/>
      <w:iCs/>
      <w:sz w:val="26"/>
      <w:szCs w:val="26"/>
    </w:rPr>
  </w:style>
  <w:style w:type="character" w:customStyle="1" w:styleId="Heading6Char">
    <w:name w:val="Heading 6 Char"/>
    <w:basedOn w:val="DefaultParagraphFont"/>
    <w:link w:val="Heading6"/>
    <w:uiPriority w:val="9"/>
    <w:semiHidden/>
    <w:rsid w:val="00BC66DD"/>
    <w:rPr>
      <w:b/>
      <w:bCs/>
    </w:rPr>
  </w:style>
  <w:style w:type="character" w:customStyle="1" w:styleId="Heading7Char">
    <w:name w:val="Heading 7 Char"/>
    <w:basedOn w:val="DefaultParagraphFont"/>
    <w:link w:val="Heading7"/>
    <w:uiPriority w:val="9"/>
    <w:semiHidden/>
    <w:rsid w:val="00BC66DD"/>
    <w:rPr>
      <w:sz w:val="24"/>
      <w:szCs w:val="24"/>
    </w:rPr>
  </w:style>
  <w:style w:type="character" w:customStyle="1" w:styleId="Heading8Char">
    <w:name w:val="Heading 8 Char"/>
    <w:basedOn w:val="DefaultParagraphFont"/>
    <w:link w:val="Heading8"/>
    <w:uiPriority w:val="9"/>
    <w:semiHidden/>
    <w:rsid w:val="00BC66DD"/>
    <w:rPr>
      <w:i/>
      <w:iCs/>
      <w:sz w:val="24"/>
      <w:szCs w:val="24"/>
    </w:rPr>
  </w:style>
  <w:style w:type="character" w:customStyle="1" w:styleId="Heading9Char">
    <w:name w:val="Heading 9 Char"/>
    <w:basedOn w:val="DefaultParagraphFont"/>
    <w:link w:val="Heading9"/>
    <w:uiPriority w:val="9"/>
    <w:semiHidden/>
    <w:rsid w:val="00BC66DD"/>
    <w:rPr>
      <w:rFonts w:asciiTheme="majorHAnsi" w:eastAsiaTheme="majorEastAsia" w:hAnsiTheme="majorHAnsi"/>
    </w:rPr>
  </w:style>
  <w:style w:type="paragraph" w:styleId="Title">
    <w:name w:val="Title"/>
    <w:basedOn w:val="Normal"/>
    <w:next w:val="Normal"/>
    <w:link w:val="TitleChar"/>
    <w:uiPriority w:val="10"/>
    <w:qFormat/>
    <w:rsid w:val="00BC66DD"/>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BC66DD"/>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BC66DD"/>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BC66DD"/>
    <w:rPr>
      <w:rFonts w:asciiTheme="majorHAnsi" w:eastAsiaTheme="majorEastAsia" w:hAnsiTheme="majorHAnsi"/>
      <w:sz w:val="24"/>
      <w:szCs w:val="24"/>
    </w:rPr>
  </w:style>
  <w:style w:type="character" w:styleId="Strong">
    <w:name w:val="Strong"/>
    <w:basedOn w:val="DefaultParagraphFont"/>
    <w:uiPriority w:val="22"/>
    <w:qFormat/>
    <w:rsid w:val="00BC66DD"/>
    <w:rPr>
      <w:b/>
      <w:bCs/>
    </w:rPr>
  </w:style>
  <w:style w:type="character" w:styleId="Emphasis">
    <w:name w:val="Emphasis"/>
    <w:basedOn w:val="DefaultParagraphFont"/>
    <w:uiPriority w:val="20"/>
    <w:qFormat/>
    <w:rsid w:val="00BC66DD"/>
    <w:rPr>
      <w:rFonts w:asciiTheme="minorHAnsi" w:hAnsiTheme="minorHAnsi"/>
      <w:b/>
      <w:i/>
      <w:iCs/>
    </w:rPr>
  </w:style>
  <w:style w:type="paragraph" w:styleId="NoSpacing">
    <w:name w:val="No Spacing"/>
    <w:basedOn w:val="Normal"/>
    <w:uiPriority w:val="1"/>
    <w:qFormat/>
    <w:rsid w:val="00BC66DD"/>
    <w:rPr>
      <w:szCs w:val="32"/>
    </w:rPr>
  </w:style>
  <w:style w:type="paragraph" w:styleId="ListParagraph">
    <w:name w:val="List Paragraph"/>
    <w:basedOn w:val="Normal"/>
    <w:uiPriority w:val="34"/>
    <w:qFormat/>
    <w:rsid w:val="00BC66DD"/>
    <w:pPr>
      <w:ind w:left="720"/>
      <w:contextualSpacing/>
    </w:pPr>
  </w:style>
  <w:style w:type="paragraph" w:styleId="Quote">
    <w:name w:val="Quote"/>
    <w:basedOn w:val="Normal"/>
    <w:next w:val="Normal"/>
    <w:link w:val="QuoteChar"/>
    <w:uiPriority w:val="29"/>
    <w:qFormat/>
    <w:rsid w:val="00BC66DD"/>
    <w:rPr>
      <w:i/>
    </w:rPr>
  </w:style>
  <w:style w:type="character" w:customStyle="1" w:styleId="QuoteChar">
    <w:name w:val="Quote Char"/>
    <w:basedOn w:val="DefaultParagraphFont"/>
    <w:link w:val="Quote"/>
    <w:uiPriority w:val="29"/>
    <w:rsid w:val="00BC66DD"/>
    <w:rPr>
      <w:i/>
      <w:sz w:val="24"/>
      <w:szCs w:val="24"/>
    </w:rPr>
  </w:style>
  <w:style w:type="paragraph" w:styleId="IntenseQuote">
    <w:name w:val="Intense Quote"/>
    <w:basedOn w:val="Normal"/>
    <w:next w:val="Normal"/>
    <w:link w:val="IntenseQuoteChar"/>
    <w:uiPriority w:val="30"/>
    <w:qFormat/>
    <w:rsid w:val="00BC66DD"/>
    <w:pPr>
      <w:ind w:left="720" w:right="720"/>
    </w:pPr>
    <w:rPr>
      <w:b/>
      <w:i/>
      <w:szCs w:val="22"/>
    </w:rPr>
  </w:style>
  <w:style w:type="character" w:customStyle="1" w:styleId="IntenseQuoteChar">
    <w:name w:val="Intense Quote Char"/>
    <w:basedOn w:val="DefaultParagraphFont"/>
    <w:link w:val="IntenseQuote"/>
    <w:uiPriority w:val="30"/>
    <w:rsid w:val="00BC66DD"/>
    <w:rPr>
      <w:b/>
      <w:i/>
      <w:sz w:val="24"/>
    </w:rPr>
  </w:style>
  <w:style w:type="character" w:styleId="SubtleEmphasis">
    <w:name w:val="Subtle Emphasis"/>
    <w:uiPriority w:val="19"/>
    <w:qFormat/>
    <w:rsid w:val="00BC66DD"/>
    <w:rPr>
      <w:i/>
      <w:color w:val="5A5A5A" w:themeColor="text1" w:themeTint="A5"/>
    </w:rPr>
  </w:style>
  <w:style w:type="character" w:styleId="IntenseEmphasis">
    <w:name w:val="Intense Emphasis"/>
    <w:basedOn w:val="DefaultParagraphFont"/>
    <w:uiPriority w:val="21"/>
    <w:qFormat/>
    <w:rsid w:val="00BC66DD"/>
    <w:rPr>
      <w:b/>
      <w:i/>
      <w:sz w:val="24"/>
      <w:szCs w:val="24"/>
      <w:u w:val="single"/>
    </w:rPr>
  </w:style>
  <w:style w:type="character" w:styleId="SubtleReference">
    <w:name w:val="Subtle Reference"/>
    <w:basedOn w:val="DefaultParagraphFont"/>
    <w:uiPriority w:val="31"/>
    <w:qFormat/>
    <w:rsid w:val="00BC66DD"/>
    <w:rPr>
      <w:sz w:val="24"/>
      <w:szCs w:val="24"/>
      <w:u w:val="single"/>
    </w:rPr>
  </w:style>
  <w:style w:type="character" w:styleId="IntenseReference">
    <w:name w:val="Intense Reference"/>
    <w:basedOn w:val="DefaultParagraphFont"/>
    <w:uiPriority w:val="32"/>
    <w:qFormat/>
    <w:rsid w:val="00BC66DD"/>
    <w:rPr>
      <w:b/>
      <w:sz w:val="24"/>
      <w:u w:val="single"/>
    </w:rPr>
  </w:style>
  <w:style w:type="character" w:styleId="BookTitle">
    <w:name w:val="Book Title"/>
    <w:basedOn w:val="DefaultParagraphFont"/>
    <w:uiPriority w:val="33"/>
    <w:qFormat/>
    <w:rsid w:val="00BC66DD"/>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BC66DD"/>
    <w:pPr>
      <w:outlineLvl w:val="9"/>
    </w:pPr>
  </w:style>
  <w:style w:type="table" w:styleId="TableGrid">
    <w:name w:val="Table Grid"/>
    <w:basedOn w:val="TableNormal"/>
    <w:uiPriority w:val="59"/>
    <w:rsid w:val="00800B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AACE63-3F0E-4740-A223-03DACFF42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472</Words>
  <Characters>2694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ICT Customer Services, University of Ulster</Company>
  <LinksUpToDate>false</LinksUpToDate>
  <CharactersWithSpaces>3160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Lorraine Mewha</dc:creator>
  <cp:lastModifiedBy>Hamill, Laura</cp:lastModifiedBy>
  <cp:revision>4</cp:revision>
  <cp:lastPrinted>2013-03-06T08:24:00Z</cp:lastPrinted>
  <dcterms:created xsi:type="dcterms:W3CDTF">2013-03-06T09:32:00Z</dcterms:created>
  <dcterms:modified xsi:type="dcterms:W3CDTF">2016-08-04T11:00:00Z</dcterms:modified>
</cp:coreProperties>
</file>